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A28C3">
      <w:pPr>
        <w:spacing w:line="360" w:lineRule="auto"/>
        <w:jc w:val="center"/>
        <w:rPr>
          <w:rFonts w:hint="eastAsia" w:ascii="宋体" w:hAnsi="宋体" w:cs="Times New Roman"/>
          <w:b/>
          <w:sz w:val="44"/>
          <w:szCs w:val="44"/>
          <w:lang w:eastAsia="zh-CN"/>
        </w:rPr>
      </w:pPr>
      <w:bookmarkStart w:id="0" w:name="_Hlk167821544"/>
    </w:p>
    <w:p w14:paraId="606CE8DB">
      <w:pPr>
        <w:spacing w:line="360" w:lineRule="auto"/>
        <w:jc w:val="center"/>
        <w:rPr>
          <w:rFonts w:hint="eastAsia" w:ascii="宋体" w:hAnsi="宋体" w:cs="Times New Roman"/>
          <w:b/>
          <w:sz w:val="44"/>
          <w:szCs w:val="44"/>
          <w:lang w:eastAsia="zh-CN"/>
        </w:rPr>
      </w:pPr>
    </w:p>
    <w:p w14:paraId="640661BB">
      <w:pPr>
        <w:spacing w:line="360" w:lineRule="auto"/>
        <w:jc w:val="center"/>
        <w:rPr>
          <w:rFonts w:ascii="宋体" w:hAnsi="宋体" w:cs="Times New Roman"/>
          <w:b/>
          <w:sz w:val="44"/>
          <w:szCs w:val="44"/>
        </w:rPr>
      </w:pPr>
      <w:r>
        <w:rPr>
          <w:rFonts w:hint="eastAsia" w:ascii="宋体" w:hAnsi="宋体" w:cs="Times New Roman"/>
          <w:b/>
          <w:sz w:val="44"/>
          <w:szCs w:val="44"/>
          <w:lang w:eastAsia="zh-CN"/>
        </w:rPr>
        <w:t>襄阳市第三中学校园</w:t>
      </w:r>
      <w:r>
        <w:rPr>
          <w:rFonts w:hint="eastAsia" w:ascii="宋体" w:hAnsi="宋体" w:cs="Times New Roman"/>
          <w:b/>
          <w:sz w:val="44"/>
          <w:szCs w:val="44"/>
        </w:rPr>
        <w:t>绿化养护</w:t>
      </w:r>
    </w:p>
    <w:bookmarkEnd w:id="0"/>
    <w:p w14:paraId="227CF6ED">
      <w:pPr>
        <w:spacing w:line="360" w:lineRule="auto"/>
        <w:jc w:val="center"/>
        <w:rPr>
          <w:rFonts w:hint="eastAsia" w:ascii="黑体" w:hAnsi="宋体" w:eastAsia="黑体" w:cs="Times New Roman"/>
          <w:b/>
          <w:bCs/>
          <w:color w:val="000000"/>
          <w:sz w:val="72"/>
          <w:szCs w:val="72"/>
          <w:lang w:eastAsia="zh-CN"/>
        </w:rPr>
      </w:pPr>
    </w:p>
    <w:p w14:paraId="5738DFDA">
      <w:pPr>
        <w:spacing w:line="360" w:lineRule="auto"/>
        <w:jc w:val="center"/>
        <w:rPr>
          <w:rFonts w:ascii="宋体" w:hAnsi="宋体" w:cs="Times New Roman"/>
          <w:sz w:val="32"/>
          <w:szCs w:val="32"/>
        </w:rPr>
      </w:pPr>
      <w:r>
        <w:rPr>
          <w:rFonts w:hint="eastAsia" w:ascii="黑体" w:hAnsi="宋体" w:eastAsia="黑体" w:cs="Times New Roman"/>
          <w:b/>
          <w:bCs/>
          <w:color w:val="000000"/>
          <w:sz w:val="72"/>
          <w:szCs w:val="72"/>
          <w:lang w:eastAsia="zh-CN"/>
        </w:rPr>
        <w:t>竞争性</w:t>
      </w:r>
      <w:r>
        <w:rPr>
          <w:rFonts w:hint="eastAsia" w:ascii="黑体" w:hAnsi="宋体" w:eastAsia="黑体" w:cs="Times New Roman"/>
          <w:b/>
          <w:bCs/>
          <w:color w:val="000000"/>
          <w:sz w:val="72"/>
          <w:szCs w:val="72"/>
          <w:lang w:val="en-US" w:eastAsia="zh-CN"/>
        </w:rPr>
        <w:t>磋商</w:t>
      </w:r>
      <w:r>
        <w:rPr>
          <w:rFonts w:hint="eastAsia" w:ascii="黑体" w:hAnsi="宋体" w:eastAsia="黑体" w:cs="Times New Roman"/>
          <w:b/>
          <w:bCs/>
          <w:color w:val="000000"/>
          <w:sz w:val="72"/>
          <w:szCs w:val="72"/>
        </w:rPr>
        <w:t>招标文件</w:t>
      </w:r>
    </w:p>
    <w:p w14:paraId="4B285E92">
      <w:pPr>
        <w:autoSpaceDE w:val="0"/>
        <w:autoSpaceDN w:val="0"/>
        <w:adjustRightInd w:val="0"/>
        <w:snapToGrid w:val="0"/>
        <w:spacing w:line="360" w:lineRule="auto"/>
        <w:jc w:val="center"/>
        <w:rPr>
          <w:rFonts w:ascii="宋体" w:hAnsi="宋体" w:cs="Times New Roman"/>
          <w:sz w:val="32"/>
          <w:szCs w:val="32"/>
        </w:rPr>
      </w:pPr>
    </w:p>
    <w:p w14:paraId="2F5FE054">
      <w:pPr>
        <w:autoSpaceDE w:val="0"/>
        <w:autoSpaceDN w:val="0"/>
        <w:adjustRightInd w:val="0"/>
        <w:snapToGrid w:val="0"/>
        <w:spacing w:line="360" w:lineRule="auto"/>
        <w:jc w:val="center"/>
        <w:rPr>
          <w:rFonts w:ascii="宋体" w:hAnsi="宋体" w:cs="Times New Roman"/>
          <w:sz w:val="32"/>
          <w:szCs w:val="32"/>
        </w:rPr>
      </w:pPr>
    </w:p>
    <w:p w14:paraId="1F8092BB">
      <w:pPr>
        <w:autoSpaceDE w:val="0"/>
        <w:autoSpaceDN w:val="0"/>
        <w:adjustRightInd w:val="0"/>
        <w:snapToGrid w:val="0"/>
        <w:spacing w:line="360" w:lineRule="auto"/>
        <w:jc w:val="center"/>
        <w:rPr>
          <w:rFonts w:ascii="宋体" w:hAnsi="宋体" w:cs="Times New Roman"/>
          <w:sz w:val="32"/>
          <w:szCs w:val="32"/>
        </w:rPr>
      </w:pPr>
    </w:p>
    <w:p w14:paraId="2033EA93">
      <w:pPr>
        <w:autoSpaceDE w:val="0"/>
        <w:autoSpaceDN w:val="0"/>
        <w:adjustRightInd w:val="0"/>
        <w:snapToGrid w:val="0"/>
        <w:spacing w:line="360" w:lineRule="auto"/>
        <w:jc w:val="center"/>
        <w:rPr>
          <w:rFonts w:ascii="宋体" w:hAnsi="宋体" w:cs="Times New Roman"/>
          <w:sz w:val="32"/>
          <w:szCs w:val="32"/>
        </w:rPr>
      </w:pPr>
    </w:p>
    <w:p w14:paraId="36CF716B">
      <w:pPr>
        <w:autoSpaceDE w:val="0"/>
        <w:autoSpaceDN w:val="0"/>
        <w:adjustRightInd w:val="0"/>
        <w:snapToGrid w:val="0"/>
        <w:spacing w:line="360" w:lineRule="auto"/>
        <w:jc w:val="center"/>
        <w:rPr>
          <w:rFonts w:hint="eastAsia" w:ascii="宋体" w:hAnsi="宋体" w:cs="Times New Roman"/>
          <w:sz w:val="32"/>
          <w:szCs w:val="32"/>
        </w:rPr>
      </w:pPr>
    </w:p>
    <w:p w14:paraId="570C6FA7">
      <w:pPr>
        <w:autoSpaceDE w:val="0"/>
        <w:autoSpaceDN w:val="0"/>
        <w:adjustRightInd w:val="0"/>
        <w:snapToGrid w:val="0"/>
        <w:spacing w:line="360" w:lineRule="auto"/>
        <w:jc w:val="center"/>
        <w:rPr>
          <w:rFonts w:hint="eastAsia" w:ascii="宋体" w:hAnsi="宋体" w:cs="Times New Roman"/>
          <w:sz w:val="32"/>
          <w:szCs w:val="32"/>
        </w:rPr>
      </w:pPr>
    </w:p>
    <w:p w14:paraId="25B2EF46">
      <w:pPr>
        <w:spacing w:line="360" w:lineRule="auto"/>
        <w:jc w:val="center"/>
        <w:rPr>
          <w:rFonts w:hint="eastAsia" w:ascii="宋体" w:hAnsi="宋体" w:eastAsia="宋体" w:cs="Times New Roman"/>
          <w:bCs/>
          <w:sz w:val="36"/>
          <w:szCs w:val="36"/>
          <w:lang w:eastAsia="zh-CN"/>
        </w:rPr>
      </w:pPr>
      <w:r>
        <w:rPr>
          <w:rFonts w:hint="eastAsia" w:cs="Times New Roman"/>
          <w:b/>
          <w:sz w:val="36"/>
          <w:szCs w:val="36"/>
        </w:rPr>
        <w:t>招标人：</w:t>
      </w:r>
      <w:r>
        <w:rPr>
          <w:rFonts w:hint="eastAsia" w:cs="Times New Roman"/>
          <w:b/>
          <w:sz w:val="36"/>
          <w:szCs w:val="36"/>
          <w:lang w:eastAsia="zh-CN"/>
        </w:rPr>
        <w:t>襄阳市第三中学</w:t>
      </w:r>
    </w:p>
    <w:p w14:paraId="655ABE46">
      <w:pPr>
        <w:spacing w:line="360" w:lineRule="auto"/>
        <w:jc w:val="center"/>
        <w:rPr>
          <w:rFonts w:cs="Times New Roman"/>
          <w:b/>
          <w:sz w:val="36"/>
          <w:szCs w:val="36"/>
        </w:rPr>
      </w:pPr>
    </w:p>
    <w:p w14:paraId="76BFE34E">
      <w:pPr>
        <w:spacing w:line="360" w:lineRule="auto"/>
        <w:jc w:val="center"/>
        <w:rPr>
          <w:rFonts w:cs="Times New Roman"/>
          <w:sz w:val="36"/>
          <w:szCs w:val="36"/>
        </w:rPr>
      </w:pPr>
    </w:p>
    <w:p w14:paraId="3C079700">
      <w:pPr>
        <w:spacing w:line="360" w:lineRule="auto"/>
        <w:jc w:val="center"/>
        <w:rPr>
          <w:rFonts w:cs="Times New Roman"/>
          <w:b/>
          <w:sz w:val="32"/>
          <w:szCs w:val="32"/>
        </w:rPr>
      </w:pPr>
      <w:r>
        <w:rPr>
          <w:rFonts w:hint="eastAsia" w:cs="Times New Roman"/>
          <w:b/>
          <w:sz w:val="32"/>
          <w:szCs w:val="32"/>
        </w:rPr>
        <w:t>编制时间：2024年</w:t>
      </w:r>
      <w:r>
        <w:rPr>
          <w:rFonts w:hint="eastAsia" w:cs="Times New Roman"/>
          <w:b/>
          <w:sz w:val="32"/>
          <w:szCs w:val="32"/>
          <w:lang w:val="en-US" w:eastAsia="zh-CN"/>
        </w:rPr>
        <w:t>9</w:t>
      </w:r>
      <w:r>
        <w:rPr>
          <w:rFonts w:hint="eastAsia" w:cs="Times New Roman"/>
          <w:b/>
          <w:sz w:val="32"/>
          <w:szCs w:val="32"/>
        </w:rPr>
        <w:t>月</w:t>
      </w:r>
    </w:p>
    <w:p w14:paraId="3B17ECFF">
      <w:pPr>
        <w:tabs>
          <w:tab w:val="left" w:pos="3200"/>
          <w:tab w:val="left" w:pos="4320"/>
          <w:tab w:val="left" w:pos="5420"/>
        </w:tabs>
        <w:autoSpaceDE w:val="0"/>
        <w:autoSpaceDN w:val="0"/>
        <w:adjustRightInd w:val="0"/>
        <w:snapToGrid w:val="0"/>
        <w:spacing w:line="360" w:lineRule="auto"/>
        <w:ind w:firstLine="2570" w:firstLineChars="800"/>
        <w:jc w:val="center"/>
        <w:rPr>
          <w:rFonts w:ascii="宋体" w:hAnsi="宋体" w:cs="Times New Roman"/>
          <w:b/>
          <w:kern w:val="0"/>
          <w:position w:val="-2"/>
          <w:sz w:val="32"/>
          <w:szCs w:val="20"/>
        </w:rPr>
      </w:pPr>
    </w:p>
    <w:p w14:paraId="73988199">
      <w:pPr>
        <w:tabs>
          <w:tab w:val="left" w:pos="3200"/>
          <w:tab w:val="left" w:pos="4320"/>
          <w:tab w:val="left" w:pos="5420"/>
        </w:tabs>
        <w:autoSpaceDE w:val="0"/>
        <w:autoSpaceDN w:val="0"/>
        <w:adjustRightInd w:val="0"/>
        <w:snapToGrid w:val="0"/>
        <w:spacing w:line="360" w:lineRule="auto"/>
        <w:ind w:firstLine="2570" w:firstLineChars="800"/>
        <w:jc w:val="center"/>
        <w:rPr>
          <w:rFonts w:ascii="宋体" w:hAnsi="宋体" w:cs="Times New Roman"/>
          <w:b/>
          <w:kern w:val="0"/>
          <w:position w:val="-2"/>
          <w:sz w:val="32"/>
          <w:szCs w:val="20"/>
        </w:rPr>
      </w:pPr>
    </w:p>
    <w:p w14:paraId="4958B8ED">
      <w:pPr>
        <w:tabs>
          <w:tab w:val="left" w:pos="3200"/>
          <w:tab w:val="left" w:pos="4320"/>
          <w:tab w:val="left" w:pos="5420"/>
        </w:tabs>
        <w:autoSpaceDE w:val="0"/>
        <w:autoSpaceDN w:val="0"/>
        <w:adjustRightInd w:val="0"/>
        <w:snapToGrid w:val="0"/>
        <w:spacing w:line="360" w:lineRule="auto"/>
        <w:rPr>
          <w:rFonts w:hint="eastAsia" w:ascii="宋体" w:hAnsi="宋体" w:cs="Times New Roman"/>
          <w:b/>
          <w:kern w:val="0"/>
          <w:position w:val="-2"/>
          <w:sz w:val="28"/>
          <w:szCs w:val="28"/>
        </w:rPr>
      </w:pPr>
    </w:p>
    <w:p w14:paraId="65E0E6B3">
      <w:pPr>
        <w:keepNext/>
        <w:keepLines/>
        <w:widowControl/>
        <w:spacing w:before="480" w:line="276" w:lineRule="auto"/>
        <w:jc w:val="center"/>
        <w:rPr>
          <w:rFonts w:ascii="Cambria" w:hAnsi="Cambria" w:cs="Times New Roman"/>
          <w:b/>
          <w:color w:val="365F91"/>
          <w:kern w:val="0"/>
          <w:sz w:val="44"/>
          <w:szCs w:val="44"/>
          <w:lang w:val="zh-CN"/>
        </w:rPr>
      </w:pPr>
    </w:p>
    <w:p w14:paraId="516F8860">
      <w:pPr>
        <w:spacing w:before="240" w:after="60"/>
        <w:outlineLvl w:val="0"/>
        <w:rPr>
          <w:rFonts w:ascii="Cambria" w:hAnsi="Cambria" w:cs="Times New Roman"/>
          <w:b/>
          <w:bCs/>
          <w:kern w:val="0"/>
          <w:sz w:val="44"/>
          <w:szCs w:val="44"/>
        </w:rPr>
      </w:pPr>
      <w:bookmarkStart w:id="1" w:name="_Toc504984594"/>
      <w:bookmarkStart w:id="2" w:name="_Toc331519029"/>
      <w:bookmarkStart w:id="3" w:name="_Toc488397836"/>
    </w:p>
    <w:bookmarkEnd w:id="1"/>
    <w:bookmarkEnd w:id="2"/>
    <w:bookmarkEnd w:id="3"/>
    <w:p w14:paraId="60A469ED">
      <w:pPr>
        <w:pStyle w:val="2"/>
        <w:pageBreakBefore w:val="0"/>
        <w:numPr>
          <w:ilvl w:val="0"/>
          <w:numId w:val="0"/>
        </w:numPr>
        <w:kinsoku/>
        <w:wordWrap/>
        <w:overflowPunct/>
        <w:topLinePunct w:val="0"/>
        <w:bidi w:val="0"/>
        <w:spacing w:before="0" w:after="0" w:line="560" w:lineRule="exact"/>
        <w:ind w:left="0" w:leftChars="0"/>
        <w:jc w:val="center"/>
        <w:textAlignment w:val="auto"/>
        <w:rPr>
          <w:rFonts w:hint="eastAsia" w:ascii="小标宋" w:hAnsi="小标宋" w:eastAsia="小标宋" w:cs="小标宋"/>
          <w:b/>
          <w:snapToGrid w:val="0"/>
          <w:color w:val="auto"/>
          <w:spacing w:val="1"/>
          <w:w w:val="99"/>
          <w:sz w:val="32"/>
          <w:szCs w:val="32"/>
        </w:rPr>
      </w:pPr>
      <w:bookmarkStart w:id="4" w:name="_Toc263665452"/>
      <w:bookmarkStart w:id="5" w:name="_Toc282525919"/>
      <w:bookmarkStart w:id="6" w:name="_Toc293123421"/>
      <w:bookmarkStart w:id="7" w:name="_Toc331514009"/>
      <w:bookmarkStart w:id="8" w:name="_Toc263665262"/>
      <w:r>
        <w:rPr>
          <w:rFonts w:hint="eastAsia" w:ascii="小标宋" w:hAnsi="小标宋" w:eastAsia="小标宋" w:cs="小标宋"/>
          <w:color w:val="auto"/>
          <w:lang w:val="en-US" w:eastAsia="zh-CN"/>
        </w:rPr>
        <w:t xml:space="preserve">第一章 </w:t>
      </w:r>
      <w:r>
        <w:rPr>
          <w:rFonts w:hint="eastAsia" w:ascii="小标宋" w:hAnsi="小标宋" w:eastAsia="小标宋" w:cs="小标宋"/>
          <w:color w:val="auto"/>
        </w:rPr>
        <w:t>竞争性磋商公告</w:t>
      </w:r>
      <w:bookmarkStart w:id="9" w:name="_Toc331519030"/>
      <w:bookmarkStart w:id="10" w:name="_Toc504984595"/>
      <w:bookmarkStart w:id="11" w:name="_Toc488397837"/>
    </w:p>
    <w:p w14:paraId="6784330F">
      <w:pPr>
        <w:pStyle w:val="2"/>
        <w:pageBreakBefore w:val="0"/>
        <w:numPr>
          <w:ilvl w:val="0"/>
          <w:numId w:val="1"/>
        </w:numPr>
        <w:kinsoku/>
        <w:wordWrap/>
        <w:overflowPunct/>
        <w:topLinePunct w:val="0"/>
        <w:bidi w:val="0"/>
        <w:spacing w:before="0" w:after="0" w:line="560" w:lineRule="exact"/>
        <w:ind w:left="0" w:leftChars="0"/>
        <w:jc w:val="both"/>
        <w:textAlignment w:val="auto"/>
        <w:rPr>
          <w:rFonts w:hint="eastAsia" w:ascii="仿宋_GB2312" w:hAnsi="仿宋_GB2312" w:eastAsia="仿宋_GB2312" w:cs="仿宋_GB2312"/>
          <w:b w:val="0"/>
          <w:bCs w:val="0"/>
          <w:color w:val="auto"/>
          <w:sz w:val="32"/>
          <w:szCs w:val="32"/>
        </w:rPr>
      </w:pPr>
      <w:r>
        <w:rPr>
          <w:rFonts w:hint="eastAsia" w:ascii="楷体_GB2312" w:hAnsi="楷体_GB2312" w:eastAsia="楷体_GB2312" w:cs="楷体_GB2312"/>
          <w:b/>
          <w:snapToGrid w:val="0"/>
          <w:color w:val="auto"/>
          <w:spacing w:val="1"/>
          <w:w w:val="99"/>
          <w:sz w:val="32"/>
          <w:szCs w:val="32"/>
        </w:rPr>
        <w:t>招标条件</w:t>
      </w:r>
      <w:bookmarkEnd w:id="4"/>
      <w:bookmarkEnd w:id="5"/>
      <w:bookmarkEnd w:id="6"/>
      <w:bookmarkEnd w:id="7"/>
      <w:bookmarkEnd w:id="8"/>
      <w:bookmarkEnd w:id="9"/>
      <w:bookmarkEnd w:id="10"/>
      <w:bookmarkEnd w:id="11"/>
      <w:bookmarkStart w:id="12" w:name="_Toc200359428"/>
      <w:bookmarkStart w:id="13" w:name="_Toc228772446"/>
      <w:bookmarkStart w:id="14" w:name="_Toc200359239"/>
      <w:bookmarkStart w:id="15" w:name="_Toc263665453"/>
      <w:bookmarkStart w:id="16" w:name="_Toc263665263"/>
    </w:p>
    <w:p w14:paraId="0ACE1522">
      <w:pPr>
        <w:pStyle w:val="2"/>
        <w:pageBreakBefore w:val="0"/>
        <w:numPr>
          <w:ilvl w:val="0"/>
          <w:numId w:val="0"/>
        </w:numPr>
        <w:kinsoku/>
        <w:wordWrap/>
        <w:overflowPunct/>
        <w:topLinePunct w:val="0"/>
        <w:bidi w:val="0"/>
        <w:spacing w:before="0" w:after="0" w:line="560" w:lineRule="exact"/>
        <w:ind w:left="0" w:leftChars="0"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snapToGrid w:val="0"/>
          <w:color w:val="auto"/>
          <w:kern w:val="0"/>
          <w:sz w:val="32"/>
          <w:szCs w:val="32"/>
        </w:rPr>
        <w:t>本招标项目</w:t>
      </w:r>
      <w:bookmarkStart w:id="17" w:name="_Hlk167824890"/>
      <w:r>
        <w:rPr>
          <w:rFonts w:hint="eastAsia" w:ascii="仿宋_GB2312" w:hAnsi="仿宋_GB2312" w:eastAsia="仿宋_GB2312" w:cs="仿宋_GB2312"/>
          <w:b w:val="0"/>
          <w:bCs w:val="0"/>
          <w:snapToGrid w:val="0"/>
          <w:color w:val="auto"/>
          <w:kern w:val="0"/>
          <w:sz w:val="32"/>
          <w:szCs w:val="32"/>
          <w:lang w:eastAsia="zh-CN"/>
        </w:rPr>
        <w:t>是襄阳市第三中学校</w:t>
      </w:r>
      <w:r>
        <w:rPr>
          <w:rFonts w:hint="eastAsia" w:ascii="仿宋_GB2312" w:hAnsi="仿宋_GB2312" w:eastAsia="仿宋_GB2312" w:cs="仿宋_GB2312"/>
          <w:b w:val="0"/>
          <w:bCs w:val="0"/>
          <w:snapToGrid w:val="0"/>
          <w:color w:val="auto"/>
          <w:kern w:val="0"/>
          <w:sz w:val="32"/>
          <w:szCs w:val="32"/>
          <w:lang w:val="en-US" w:eastAsia="zh-CN"/>
        </w:rPr>
        <w:t>园</w:t>
      </w:r>
      <w:r>
        <w:rPr>
          <w:rFonts w:hint="eastAsia" w:ascii="仿宋_GB2312" w:hAnsi="仿宋_GB2312" w:eastAsia="仿宋_GB2312" w:cs="仿宋_GB2312"/>
          <w:b w:val="0"/>
          <w:bCs w:val="0"/>
          <w:color w:val="auto"/>
          <w:sz w:val="32"/>
          <w:szCs w:val="32"/>
        </w:rPr>
        <w:t>绿化养护工程</w:t>
      </w:r>
      <w:bookmarkEnd w:id="17"/>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snapToGrid w:val="0"/>
          <w:color w:val="auto"/>
          <w:kern w:val="0"/>
          <w:sz w:val="32"/>
          <w:szCs w:val="32"/>
        </w:rPr>
        <w:t>项目业主为</w:t>
      </w:r>
      <w:r>
        <w:rPr>
          <w:rFonts w:hint="eastAsia" w:ascii="仿宋_GB2312" w:hAnsi="仿宋_GB2312" w:eastAsia="仿宋_GB2312" w:cs="仿宋_GB2312"/>
          <w:b w:val="0"/>
          <w:bCs w:val="0"/>
          <w:snapToGrid w:val="0"/>
          <w:color w:val="auto"/>
          <w:kern w:val="0"/>
          <w:sz w:val="32"/>
          <w:szCs w:val="32"/>
          <w:lang w:eastAsia="zh-CN"/>
        </w:rPr>
        <w:t>襄阳市第三中学，</w:t>
      </w:r>
      <w:r>
        <w:rPr>
          <w:rFonts w:hint="eastAsia" w:ascii="仿宋_GB2312" w:hAnsi="仿宋_GB2312" w:eastAsia="仿宋_GB2312" w:cs="仿宋_GB2312"/>
          <w:b w:val="0"/>
          <w:bCs w:val="0"/>
          <w:snapToGrid w:val="0"/>
          <w:color w:val="auto"/>
          <w:kern w:val="0"/>
          <w:sz w:val="32"/>
          <w:szCs w:val="32"/>
        </w:rPr>
        <w:t>资金来源</w:t>
      </w:r>
      <w:r>
        <w:rPr>
          <w:rFonts w:hint="eastAsia" w:ascii="仿宋_GB2312" w:hAnsi="仿宋_GB2312" w:eastAsia="仿宋_GB2312" w:cs="仿宋_GB2312"/>
          <w:b w:val="0"/>
          <w:bCs w:val="0"/>
          <w:snapToGrid w:val="0"/>
          <w:color w:val="auto"/>
          <w:kern w:val="0"/>
          <w:sz w:val="32"/>
          <w:szCs w:val="32"/>
          <w:u w:val="single" w:color="FFFFFF" w:themeColor="background1"/>
        </w:rPr>
        <w:t>自筹资金</w:t>
      </w:r>
      <w:r>
        <w:rPr>
          <w:rFonts w:hint="eastAsia" w:ascii="仿宋_GB2312" w:hAnsi="仿宋_GB2312" w:eastAsia="仿宋_GB2312" w:cs="仿宋_GB2312"/>
          <w:b w:val="0"/>
          <w:bCs w:val="0"/>
          <w:snapToGrid w:val="0"/>
          <w:color w:val="auto"/>
          <w:kern w:val="0"/>
          <w:position w:val="-2"/>
          <w:sz w:val="32"/>
          <w:szCs w:val="32"/>
        </w:rPr>
        <w:t>。项目已具备招标条件，现</w:t>
      </w:r>
      <w:r>
        <w:rPr>
          <w:rFonts w:hint="eastAsia" w:ascii="仿宋_GB2312" w:hAnsi="仿宋_GB2312" w:eastAsia="仿宋_GB2312" w:cs="仿宋_GB2312"/>
          <w:b w:val="0"/>
          <w:bCs w:val="0"/>
          <w:snapToGrid w:val="0"/>
          <w:color w:val="auto"/>
          <w:kern w:val="0"/>
          <w:position w:val="-2"/>
          <w:sz w:val="32"/>
          <w:szCs w:val="32"/>
          <w:lang w:val="en-US" w:eastAsia="zh-CN"/>
        </w:rPr>
        <w:t>对该项目进行竞争性磋商招标采购</w:t>
      </w:r>
      <w:r>
        <w:rPr>
          <w:rFonts w:hint="eastAsia" w:ascii="仿宋_GB2312" w:hAnsi="仿宋_GB2312" w:eastAsia="仿宋_GB2312" w:cs="仿宋_GB2312"/>
          <w:b w:val="0"/>
          <w:bCs w:val="0"/>
          <w:snapToGrid w:val="0"/>
          <w:color w:val="auto"/>
          <w:kern w:val="0"/>
          <w:position w:val="-2"/>
          <w:sz w:val="32"/>
          <w:szCs w:val="32"/>
        </w:rPr>
        <w:t>。</w:t>
      </w:r>
    </w:p>
    <w:p w14:paraId="5FB582D2">
      <w:pPr>
        <w:pageBreakBefore w:val="0"/>
        <w:kinsoku/>
        <w:wordWrap/>
        <w:overflowPunct/>
        <w:topLinePunct w:val="0"/>
        <w:autoSpaceDE w:val="0"/>
        <w:autoSpaceDN w:val="0"/>
        <w:bidi w:val="0"/>
        <w:adjustRightInd w:val="0"/>
        <w:snapToGrid w:val="0"/>
        <w:spacing w:line="560" w:lineRule="exact"/>
        <w:ind w:left="0" w:leftChars="0"/>
        <w:jc w:val="left"/>
        <w:textAlignment w:val="auto"/>
        <w:outlineLvl w:val="1"/>
        <w:rPr>
          <w:rFonts w:hint="eastAsia" w:ascii="仿宋" w:hAnsi="仿宋" w:eastAsia="仿宋" w:cs="仿宋"/>
          <w:b/>
          <w:snapToGrid w:val="0"/>
          <w:color w:val="auto"/>
          <w:spacing w:val="1"/>
          <w:w w:val="99"/>
          <w:sz w:val="32"/>
          <w:szCs w:val="32"/>
        </w:rPr>
      </w:pPr>
      <w:bookmarkStart w:id="18" w:name="_Toc293123423"/>
      <w:bookmarkStart w:id="19" w:name="_Toc282525921"/>
      <w:bookmarkStart w:id="20" w:name="_Toc331519032"/>
      <w:bookmarkStart w:id="21" w:name="_Toc504984596"/>
      <w:bookmarkStart w:id="22" w:name="_Toc331514011"/>
      <w:bookmarkStart w:id="23" w:name="_Toc488397838"/>
      <w:r>
        <w:rPr>
          <w:rFonts w:hint="eastAsia" w:ascii="仿宋" w:hAnsi="仿宋" w:eastAsia="仿宋" w:cs="仿宋"/>
          <w:b/>
          <w:snapToGrid w:val="0"/>
          <w:color w:val="auto"/>
          <w:spacing w:val="1"/>
          <w:w w:val="99"/>
          <w:sz w:val="32"/>
          <w:szCs w:val="32"/>
          <w:lang w:val="en-US" w:eastAsia="zh-CN"/>
        </w:rPr>
        <w:t>二、</w:t>
      </w:r>
      <w:r>
        <w:rPr>
          <w:rFonts w:hint="eastAsia" w:ascii="仿宋" w:hAnsi="仿宋" w:eastAsia="仿宋" w:cs="仿宋"/>
          <w:b/>
          <w:snapToGrid w:val="0"/>
          <w:color w:val="auto"/>
          <w:spacing w:val="1"/>
          <w:w w:val="99"/>
          <w:sz w:val="32"/>
          <w:szCs w:val="32"/>
        </w:rPr>
        <w:t>项目概况及招标范围</w:t>
      </w:r>
      <w:bookmarkEnd w:id="12"/>
      <w:bookmarkEnd w:id="13"/>
      <w:bookmarkEnd w:id="14"/>
      <w:bookmarkEnd w:id="15"/>
      <w:bookmarkEnd w:id="16"/>
      <w:bookmarkEnd w:id="18"/>
      <w:bookmarkEnd w:id="19"/>
      <w:bookmarkEnd w:id="20"/>
      <w:bookmarkEnd w:id="21"/>
      <w:bookmarkEnd w:id="22"/>
      <w:bookmarkEnd w:id="23"/>
    </w:p>
    <w:p w14:paraId="24DFA401">
      <w:pPr>
        <w:pageBreakBefore w:val="0"/>
        <w:widowControl/>
        <w:kinsoku/>
        <w:wordWrap/>
        <w:overflowPunct/>
        <w:topLinePunct w:val="0"/>
        <w:bidi w:val="0"/>
        <w:adjustRightInd w:val="0"/>
        <w:snapToGrid w:val="0"/>
        <w:spacing w:line="560" w:lineRule="exact"/>
        <w:ind w:left="0" w:leftChars="0" w:firstLine="643" w:firstLineChars="200"/>
        <w:textAlignment w:val="auto"/>
        <w:rPr>
          <w:rFonts w:hint="eastAsia" w:ascii="仿宋" w:hAnsi="仿宋" w:eastAsia="仿宋" w:cs="仿宋"/>
          <w:b/>
          <w:snapToGrid w:val="0"/>
          <w:color w:val="auto"/>
          <w:sz w:val="32"/>
          <w:szCs w:val="32"/>
        </w:rPr>
      </w:pPr>
      <w:bookmarkStart w:id="24" w:name="_Toc200359240"/>
      <w:bookmarkStart w:id="25" w:name="_Toc200359429"/>
      <w:r>
        <w:rPr>
          <w:rFonts w:hint="eastAsia" w:ascii="仿宋" w:hAnsi="仿宋" w:eastAsia="仿宋" w:cs="仿宋"/>
          <w:b/>
          <w:snapToGrid w:val="0"/>
          <w:color w:val="auto"/>
          <w:sz w:val="32"/>
          <w:szCs w:val="32"/>
          <w:lang w:eastAsia="zh-CN"/>
        </w:rPr>
        <w:t>（</w:t>
      </w:r>
      <w:r>
        <w:rPr>
          <w:rFonts w:hint="eastAsia" w:ascii="仿宋" w:hAnsi="仿宋" w:eastAsia="仿宋" w:cs="仿宋"/>
          <w:b/>
          <w:snapToGrid w:val="0"/>
          <w:color w:val="auto"/>
          <w:sz w:val="32"/>
          <w:szCs w:val="32"/>
          <w:lang w:val="en-US" w:eastAsia="zh-CN"/>
        </w:rPr>
        <w:t>一</w:t>
      </w:r>
      <w:r>
        <w:rPr>
          <w:rFonts w:hint="eastAsia" w:ascii="仿宋" w:hAnsi="仿宋" w:eastAsia="仿宋" w:cs="仿宋"/>
          <w:b/>
          <w:snapToGrid w:val="0"/>
          <w:color w:val="auto"/>
          <w:sz w:val="32"/>
          <w:szCs w:val="32"/>
          <w:lang w:eastAsia="zh-CN"/>
        </w:rPr>
        <w:t>）</w:t>
      </w:r>
      <w:r>
        <w:rPr>
          <w:rFonts w:hint="eastAsia" w:ascii="仿宋" w:hAnsi="仿宋" w:eastAsia="仿宋" w:cs="仿宋"/>
          <w:b/>
          <w:snapToGrid w:val="0"/>
          <w:color w:val="auto"/>
          <w:sz w:val="32"/>
          <w:szCs w:val="32"/>
        </w:rPr>
        <w:t>项目概况：</w:t>
      </w:r>
    </w:p>
    <w:p w14:paraId="54531AC0">
      <w:pPr>
        <w:pageBreakBefore w:val="0"/>
        <w:widowControl/>
        <w:kinsoku/>
        <w:wordWrap/>
        <w:overflowPunct/>
        <w:topLinePunct w:val="0"/>
        <w:bidi w:val="0"/>
        <w:adjustRightInd w:val="0"/>
        <w:snapToGrid w:val="0"/>
        <w:spacing w:line="560" w:lineRule="exact"/>
        <w:ind w:left="0" w:leftChars="0"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snapToGrid w:val="0"/>
          <w:color w:val="auto"/>
          <w:sz w:val="32"/>
          <w:szCs w:val="32"/>
        </w:rPr>
        <w:t>本项目位于湖北省襄阳</w:t>
      </w:r>
      <w:r>
        <w:rPr>
          <w:rFonts w:hint="eastAsia" w:ascii="仿宋" w:hAnsi="仿宋" w:eastAsia="仿宋" w:cs="仿宋"/>
          <w:snapToGrid w:val="0"/>
          <w:color w:val="auto"/>
          <w:sz w:val="32"/>
          <w:szCs w:val="32"/>
          <w:lang w:eastAsia="zh-CN"/>
        </w:rPr>
        <w:t>市东津新区楚山路</w:t>
      </w:r>
      <w:r>
        <w:rPr>
          <w:rFonts w:hint="eastAsia" w:ascii="仿宋" w:hAnsi="仿宋" w:eastAsia="仿宋" w:cs="仿宋"/>
          <w:snapToGrid w:val="0"/>
          <w:color w:val="auto"/>
          <w:sz w:val="32"/>
          <w:szCs w:val="32"/>
          <w:lang w:val="en-US" w:eastAsia="zh-CN"/>
        </w:rPr>
        <w:t>16号</w:t>
      </w:r>
      <w:r>
        <w:rPr>
          <w:rFonts w:hint="eastAsia" w:ascii="仿宋" w:hAnsi="仿宋" w:eastAsia="仿宋" w:cs="仿宋"/>
          <w:snapToGrid w:val="0"/>
          <w:color w:val="auto"/>
          <w:sz w:val="32"/>
          <w:szCs w:val="32"/>
          <w:lang w:eastAsia="zh-CN"/>
        </w:rPr>
        <w:t>襄阳市第三中学</w:t>
      </w:r>
      <w:r>
        <w:rPr>
          <w:rFonts w:hint="eastAsia" w:ascii="仿宋" w:hAnsi="仿宋" w:eastAsia="仿宋" w:cs="仿宋"/>
          <w:snapToGrid w:val="0"/>
          <w:color w:val="auto"/>
          <w:sz w:val="32"/>
          <w:szCs w:val="32"/>
          <w:lang w:val="en-US" w:eastAsia="zh-CN"/>
        </w:rPr>
        <w:t>校内</w:t>
      </w:r>
      <w:r>
        <w:rPr>
          <w:rFonts w:hint="eastAsia" w:ascii="仿宋" w:hAnsi="仿宋" w:eastAsia="仿宋" w:cs="仿宋"/>
          <w:snapToGrid w:val="0"/>
          <w:color w:val="auto"/>
          <w:sz w:val="32"/>
          <w:szCs w:val="32"/>
        </w:rPr>
        <w:t>，绿化总建筑面积约</w:t>
      </w:r>
      <w:r>
        <w:rPr>
          <w:rFonts w:hint="eastAsia" w:ascii="仿宋" w:hAnsi="仿宋" w:eastAsia="仿宋" w:cs="仿宋"/>
          <w:snapToGrid w:val="0"/>
          <w:color w:val="auto"/>
          <w:sz w:val="32"/>
          <w:szCs w:val="32"/>
          <w:lang w:val="en-US" w:eastAsia="zh-CN"/>
        </w:rPr>
        <w:t>3.5</w:t>
      </w:r>
      <w:r>
        <w:rPr>
          <w:rFonts w:hint="eastAsia" w:ascii="仿宋" w:hAnsi="仿宋" w:eastAsia="仿宋" w:cs="仿宋"/>
          <w:snapToGrid w:val="0"/>
          <w:color w:val="auto"/>
          <w:sz w:val="32"/>
          <w:szCs w:val="32"/>
        </w:rPr>
        <w:t>万平方米</w:t>
      </w:r>
      <w:r>
        <w:rPr>
          <w:rFonts w:hint="eastAsia" w:ascii="仿宋" w:hAnsi="仿宋" w:eastAsia="仿宋" w:cs="仿宋"/>
          <w:snapToGrid w:val="0"/>
          <w:color w:val="auto"/>
          <w:sz w:val="32"/>
          <w:szCs w:val="32"/>
          <w:lang w:eastAsia="zh-CN"/>
        </w:rPr>
        <w:t>，</w:t>
      </w:r>
      <w:r>
        <w:rPr>
          <w:rFonts w:hint="eastAsia" w:ascii="仿宋" w:hAnsi="仿宋" w:eastAsia="仿宋" w:cs="仿宋"/>
          <w:snapToGrid w:val="0"/>
          <w:color w:val="auto"/>
          <w:sz w:val="32"/>
          <w:szCs w:val="32"/>
          <w:lang w:val="en-US" w:eastAsia="zh-CN"/>
        </w:rPr>
        <w:t>招标控制价21万元</w:t>
      </w:r>
      <w:r>
        <w:rPr>
          <w:rFonts w:hint="eastAsia" w:ascii="仿宋" w:hAnsi="仿宋" w:eastAsia="仿宋" w:cs="仿宋"/>
          <w:snapToGrid w:val="0"/>
          <w:color w:val="auto"/>
          <w:sz w:val="32"/>
          <w:szCs w:val="32"/>
        </w:rPr>
        <w:t>。</w:t>
      </w:r>
      <w:r>
        <w:rPr>
          <w:rFonts w:hint="eastAsia" w:ascii="仿宋" w:hAnsi="仿宋" w:eastAsia="仿宋" w:cs="仿宋"/>
          <w:snapToGrid w:val="0"/>
          <w:color w:val="auto"/>
          <w:sz w:val="32"/>
          <w:szCs w:val="32"/>
          <w:lang w:val="en-US" w:eastAsia="zh-CN"/>
        </w:rPr>
        <w:t>本次招标范围内的施肥及病虫害防治所需的肥料、工具及药剂由投标方承担。</w:t>
      </w:r>
    </w:p>
    <w:p w14:paraId="39167657">
      <w:pPr>
        <w:pageBreakBefore w:val="0"/>
        <w:widowControl/>
        <w:kinsoku/>
        <w:wordWrap/>
        <w:overflowPunct/>
        <w:topLinePunct w:val="0"/>
        <w:bidi w:val="0"/>
        <w:adjustRightInd w:val="0"/>
        <w:snapToGrid w:val="0"/>
        <w:spacing w:line="560" w:lineRule="exact"/>
        <w:ind w:left="0" w:leftChars="0" w:firstLine="643" w:firstLineChars="200"/>
        <w:textAlignment w:val="auto"/>
        <w:rPr>
          <w:rFonts w:hint="eastAsia" w:ascii="仿宋" w:hAnsi="仿宋" w:eastAsia="仿宋" w:cs="仿宋"/>
          <w:color w:val="auto"/>
          <w:sz w:val="32"/>
          <w:szCs w:val="32"/>
        </w:rPr>
      </w:pPr>
      <w:r>
        <w:rPr>
          <w:rFonts w:hint="eastAsia" w:ascii="仿宋" w:hAnsi="仿宋" w:eastAsia="仿宋" w:cs="仿宋"/>
          <w:b/>
          <w:snapToGrid w:val="0"/>
          <w:color w:val="auto"/>
          <w:sz w:val="32"/>
          <w:szCs w:val="32"/>
          <w:lang w:eastAsia="zh-CN"/>
        </w:rPr>
        <w:t>（</w:t>
      </w:r>
      <w:r>
        <w:rPr>
          <w:rFonts w:hint="eastAsia" w:ascii="仿宋" w:hAnsi="仿宋" w:eastAsia="仿宋" w:cs="仿宋"/>
          <w:b/>
          <w:snapToGrid w:val="0"/>
          <w:color w:val="auto"/>
          <w:sz w:val="32"/>
          <w:szCs w:val="32"/>
          <w:lang w:val="en-US" w:eastAsia="zh-CN"/>
        </w:rPr>
        <w:t>二</w:t>
      </w:r>
      <w:r>
        <w:rPr>
          <w:rFonts w:hint="eastAsia" w:ascii="仿宋" w:hAnsi="仿宋" w:eastAsia="仿宋" w:cs="仿宋"/>
          <w:b/>
          <w:snapToGrid w:val="0"/>
          <w:color w:val="auto"/>
          <w:sz w:val="32"/>
          <w:szCs w:val="32"/>
          <w:lang w:eastAsia="zh-CN"/>
        </w:rPr>
        <w:t>）</w:t>
      </w:r>
      <w:r>
        <w:rPr>
          <w:rFonts w:hint="eastAsia" w:ascii="仿宋" w:hAnsi="仿宋" w:eastAsia="仿宋" w:cs="仿宋"/>
          <w:b/>
          <w:snapToGrid w:val="0"/>
          <w:color w:val="auto"/>
          <w:sz w:val="32"/>
          <w:szCs w:val="32"/>
        </w:rPr>
        <w:t>招标范围：</w:t>
      </w:r>
      <w:bookmarkStart w:id="26" w:name="_Toc228772447"/>
      <w:r>
        <w:rPr>
          <w:rFonts w:hint="eastAsia" w:ascii="仿宋" w:hAnsi="仿宋" w:eastAsia="仿宋" w:cs="仿宋"/>
          <w:color w:val="auto"/>
          <w:sz w:val="32"/>
          <w:szCs w:val="32"/>
        </w:rPr>
        <w:t xml:space="preserve"> </w:t>
      </w:r>
    </w:p>
    <w:p w14:paraId="590470C8">
      <w:pPr>
        <w:pageBreakBefore w:val="0"/>
        <w:widowControl/>
        <w:kinsoku/>
        <w:wordWrap/>
        <w:overflowPunct/>
        <w:topLinePunct w:val="0"/>
        <w:bidi w:val="0"/>
        <w:adjustRightInd w:val="0"/>
        <w:snapToGrid w:val="0"/>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校区内草坪、树木、花卉的养护，包括但不限于以下内容：</w:t>
      </w:r>
    </w:p>
    <w:p w14:paraId="6283BAEC">
      <w:pPr>
        <w:pageBreakBefore w:val="0"/>
        <w:kinsoku/>
        <w:wordWrap/>
        <w:overflowPunct/>
        <w:topLinePunct w:val="0"/>
        <w:bidi w:val="0"/>
        <w:spacing w:line="560" w:lineRule="exact"/>
        <w:ind w:left="0" w:leftChars="0" w:firstLine="640" w:firstLineChars="200"/>
        <w:textAlignment w:val="auto"/>
        <w:rPr>
          <w:rFonts w:hint="eastAsia" w:ascii="仿宋" w:hAnsi="仿宋" w:eastAsia="仿宋" w:cs="仿宋"/>
          <w:color w:val="auto"/>
          <w:sz w:val="32"/>
          <w:szCs w:val="32"/>
        </w:rPr>
      </w:pPr>
      <w:bookmarkStart w:id="27" w:name="_Hlk167825026"/>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浇水：根据不同植物的特性和气候状况，合理安排浇水的频率和水量，确保植物水分充足但又不过量积水。</w:t>
      </w:r>
    </w:p>
    <w:p w14:paraId="5CF1EDE5">
      <w:pPr>
        <w:pageBreakBefore w:val="0"/>
        <w:kinsoku/>
        <w:wordWrap/>
        <w:overflowPunct/>
        <w:topLinePunct w:val="0"/>
        <w:bidi w:val="0"/>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施肥：选用适宜的肥料种类，并按照规定的时间和剂量进行施放，以促进植物的健康生长。</w:t>
      </w:r>
    </w:p>
    <w:p w14:paraId="569E96AC">
      <w:pPr>
        <w:pageBreakBefore w:val="0"/>
        <w:widowControl/>
        <w:kinsoku/>
        <w:wordWrap/>
        <w:overflowPunct/>
        <w:topLinePunct w:val="0"/>
        <w:bidi w:val="0"/>
        <w:adjustRightInd w:val="0"/>
        <w:snapToGrid w:val="0"/>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修剪：乔木保持形态优美，灌木修剪整齐，及时去除徒长枝、病弱枝等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草坪定期修剪，保持</w:t>
      </w:r>
      <w:r>
        <w:rPr>
          <w:rFonts w:hint="eastAsia" w:ascii="仿宋" w:hAnsi="仿宋" w:eastAsia="仿宋" w:cs="仿宋"/>
          <w:color w:val="auto"/>
          <w:sz w:val="32"/>
          <w:szCs w:val="32"/>
        </w:rPr>
        <w:t>平整，无斑秃。</w:t>
      </w:r>
    </w:p>
    <w:p w14:paraId="7AC6F239">
      <w:pPr>
        <w:pageBreakBefore w:val="0"/>
        <w:widowControl/>
        <w:kinsoku/>
        <w:wordWrap/>
        <w:overflowPunct/>
        <w:topLinePunct w:val="0"/>
        <w:bidi w:val="0"/>
        <w:adjustRightInd w:val="0"/>
        <w:snapToGrid w:val="0"/>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除草及</w:t>
      </w:r>
      <w:bookmarkStart w:id="28" w:name="_Hlk167822070"/>
      <w:r>
        <w:rPr>
          <w:rFonts w:hint="eastAsia" w:ascii="仿宋" w:hAnsi="仿宋" w:eastAsia="仿宋" w:cs="仿宋"/>
          <w:color w:val="auto"/>
          <w:sz w:val="32"/>
          <w:szCs w:val="32"/>
        </w:rPr>
        <w:t>死树</w:t>
      </w:r>
      <w:bookmarkEnd w:id="28"/>
      <w:r>
        <w:rPr>
          <w:rFonts w:hint="eastAsia" w:ascii="仿宋" w:hAnsi="仿宋" w:eastAsia="仿宋" w:cs="仿宋"/>
          <w:color w:val="auto"/>
          <w:sz w:val="32"/>
          <w:szCs w:val="32"/>
        </w:rPr>
        <w:t>处理：</w:t>
      </w:r>
      <w:r>
        <w:rPr>
          <w:rFonts w:hint="eastAsia" w:ascii="仿宋" w:hAnsi="仿宋" w:eastAsia="仿宋" w:cs="仿宋"/>
          <w:color w:val="auto"/>
          <w:sz w:val="32"/>
          <w:szCs w:val="32"/>
          <w:lang w:val="en-US" w:eastAsia="zh-CN"/>
        </w:rPr>
        <w:t>及时除去</w:t>
      </w:r>
      <w:r>
        <w:rPr>
          <w:rFonts w:hint="eastAsia" w:ascii="仿宋" w:hAnsi="仿宋" w:eastAsia="仿宋" w:cs="仿宋"/>
          <w:color w:val="auto"/>
          <w:sz w:val="32"/>
          <w:szCs w:val="32"/>
        </w:rPr>
        <w:t>杂草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草坪枯萎及时补种</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死树及时移除补种</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补种植物必须与原植物品种、胸径等相符，费用由投标方支付</w:t>
      </w:r>
      <w:r>
        <w:rPr>
          <w:rFonts w:hint="eastAsia" w:ascii="仿宋" w:hAnsi="仿宋" w:eastAsia="仿宋" w:cs="仿宋"/>
          <w:color w:val="auto"/>
          <w:sz w:val="32"/>
          <w:szCs w:val="32"/>
        </w:rPr>
        <w:t>。</w:t>
      </w:r>
    </w:p>
    <w:p w14:paraId="644EDE4C">
      <w:pPr>
        <w:pageBreakBefore w:val="0"/>
        <w:widowControl/>
        <w:kinsoku/>
        <w:wordWrap/>
        <w:overflowPunct/>
        <w:topLinePunct w:val="0"/>
        <w:bidi w:val="0"/>
        <w:adjustRightInd w:val="0"/>
        <w:snapToGrid w:val="0"/>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病虫害防治：</w:t>
      </w:r>
      <w:r>
        <w:rPr>
          <w:rFonts w:hint="eastAsia" w:ascii="仿宋" w:hAnsi="仿宋" w:eastAsia="仿宋" w:cs="仿宋"/>
          <w:color w:val="auto"/>
          <w:sz w:val="32"/>
          <w:szCs w:val="32"/>
          <w:lang w:val="en-US" w:eastAsia="zh-CN"/>
        </w:rPr>
        <w:t>不定期进行病虫害防治，</w:t>
      </w:r>
      <w:r>
        <w:rPr>
          <w:rFonts w:hint="eastAsia" w:ascii="仿宋" w:hAnsi="仿宋" w:eastAsia="仿宋" w:cs="仿宋"/>
          <w:color w:val="auto"/>
          <w:sz w:val="32"/>
          <w:szCs w:val="32"/>
        </w:rPr>
        <w:t>及时发现并有效治理病虫害，确保植物健康生长。</w:t>
      </w:r>
    </w:p>
    <w:p w14:paraId="5AD3F1EE">
      <w:pPr>
        <w:pageBreakBefore w:val="0"/>
        <w:widowControl/>
        <w:kinsoku/>
        <w:wordWrap/>
        <w:overflowPunct/>
        <w:topLinePunct w:val="0"/>
        <w:bidi w:val="0"/>
        <w:adjustRightInd w:val="0"/>
        <w:snapToGrid w:val="0"/>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松土：定期进行松土，增加土壤透气性。</w:t>
      </w:r>
    </w:p>
    <w:p w14:paraId="5A334BAD">
      <w:pPr>
        <w:pageBreakBefore w:val="0"/>
        <w:widowControl/>
        <w:kinsoku/>
        <w:wordWrap/>
        <w:overflowPunct/>
        <w:topLinePunct w:val="0"/>
        <w:bidi w:val="0"/>
        <w:adjustRightInd w:val="0"/>
        <w:snapToGrid w:val="0"/>
        <w:spacing w:line="560" w:lineRule="exact"/>
        <w:ind w:left="0" w:leftChars="0"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其他特殊养护工作</w:t>
      </w:r>
      <w:r>
        <w:rPr>
          <w:rFonts w:hint="eastAsia" w:ascii="仿宋" w:hAnsi="仿宋" w:eastAsia="仿宋" w:cs="仿宋"/>
          <w:color w:val="auto"/>
          <w:sz w:val="32"/>
          <w:szCs w:val="32"/>
          <w:lang w:val="en-US" w:eastAsia="zh-CN"/>
        </w:rPr>
        <w:t>及校方关于绿化的其它要求</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p>
    <w:bookmarkEnd w:id="27"/>
    <w:p w14:paraId="52201E22">
      <w:pPr>
        <w:pageBreakBefore w:val="0"/>
        <w:kinsoku/>
        <w:wordWrap/>
        <w:overflowPunct/>
        <w:topLinePunct w:val="0"/>
        <w:bidi w:val="0"/>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snapToGrid w:val="0"/>
          <w:color w:val="auto"/>
          <w:sz w:val="32"/>
          <w:szCs w:val="32"/>
        </w:rPr>
        <w:t>招标范围解释权在招标方。</w:t>
      </w:r>
      <w:bookmarkStart w:id="29" w:name="_Toc293123424"/>
      <w:bookmarkStart w:id="30" w:name="_Toc331519033"/>
      <w:bookmarkStart w:id="31" w:name="_Toc331514012"/>
      <w:bookmarkStart w:id="32" w:name="_Toc282525922"/>
      <w:bookmarkStart w:id="33" w:name="_Toc504984597"/>
      <w:bookmarkStart w:id="34" w:name="_Toc263665454"/>
      <w:bookmarkStart w:id="35" w:name="_Toc263665264"/>
      <w:bookmarkStart w:id="36" w:name="_Toc488397839"/>
    </w:p>
    <w:p w14:paraId="4599031A">
      <w:pPr>
        <w:pageBreakBefore w:val="0"/>
        <w:kinsoku/>
        <w:wordWrap/>
        <w:overflowPunct/>
        <w:topLinePunct w:val="0"/>
        <w:autoSpaceDE w:val="0"/>
        <w:autoSpaceDN w:val="0"/>
        <w:bidi w:val="0"/>
        <w:adjustRightInd w:val="0"/>
        <w:snapToGrid w:val="0"/>
        <w:spacing w:line="560" w:lineRule="exact"/>
        <w:ind w:left="0" w:leftChars="0" w:firstLine="639" w:firstLineChars="200"/>
        <w:jc w:val="left"/>
        <w:textAlignment w:val="auto"/>
        <w:outlineLvl w:val="1"/>
        <w:rPr>
          <w:rFonts w:hint="eastAsia" w:ascii="仿宋" w:hAnsi="仿宋" w:eastAsia="仿宋" w:cs="仿宋"/>
          <w:b/>
          <w:color w:val="auto"/>
          <w:spacing w:val="1"/>
          <w:w w:val="99"/>
          <w:sz w:val="32"/>
          <w:szCs w:val="32"/>
        </w:rPr>
      </w:pPr>
      <w:r>
        <w:rPr>
          <w:rFonts w:hint="eastAsia" w:ascii="仿宋" w:hAnsi="仿宋" w:eastAsia="仿宋" w:cs="仿宋"/>
          <w:b/>
          <w:snapToGrid w:val="0"/>
          <w:color w:val="auto"/>
          <w:spacing w:val="1"/>
          <w:w w:val="99"/>
          <w:sz w:val="32"/>
          <w:szCs w:val="32"/>
          <w:lang w:val="en-US" w:eastAsia="zh-CN"/>
        </w:rPr>
        <w:t>三、</w:t>
      </w:r>
      <w:r>
        <w:rPr>
          <w:rFonts w:hint="eastAsia" w:ascii="仿宋" w:hAnsi="仿宋" w:eastAsia="仿宋" w:cs="仿宋"/>
          <w:b/>
          <w:snapToGrid w:val="0"/>
          <w:color w:val="auto"/>
          <w:spacing w:val="1"/>
          <w:w w:val="99"/>
          <w:sz w:val="32"/>
          <w:szCs w:val="32"/>
        </w:rPr>
        <w:t>投标人资格要求</w:t>
      </w:r>
      <w:bookmarkEnd w:id="24"/>
      <w:bookmarkEnd w:id="25"/>
      <w:bookmarkEnd w:id="26"/>
      <w:bookmarkEnd w:id="29"/>
      <w:bookmarkEnd w:id="30"/>
      <w:bookmarkEnd w:id="31"/>
      <w:bookmarkEnd w:id="32"/>
      <w:bookmarkEnd w:id="33"/>
      <w:bookmarkEnd w:id="34"/>
      <w:bookmarkEnd w:id="35"/>
      <w:bookmarkEnd w:id="36"/>
    </w:p>
    <w:p w14:paraId="1D45F8CB">
      <w:pPr>
        <w:pageBreakBefore w:val="0"/>
        <w:numPr>
          <w:ilvl w:val="0"/>
          <w:numId w:val="0"/>
        </w:numPr>
        <w:kinsoku/>
        <w:wordWrap/>
        <w:overflowPunct/>
        <w:topLinePunct w:val="0"/>
        <w:bidi w:val="0"/>
        <w:spacing w:line="560" w:lineRule="exact"/>
        <w:ind w:left="0" w:leftChars="0" w:firstLine="640" w:firstLineChars="200"/>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仿宋_GB2312" w:hAnsi="仿宋_GB2312" w:eastAsia="仿宋_GB2312" w:cs="仿宋_GB2312"/>
          <w:color w:val="auto"/>
          <w:sz w:val="32"/>
          <w:szCs w:val="32"/>
          <w:u w:val="none"/>
          <w:shd w:val="clear" w:color="auto" w:fill="auto"/>
          <w:lang w:val="en-US" w:eastAsia="zh-CN"/>
        </w:rPr>
        <w:t>1.供应商具有独立法人资格及有效的营业执照，提供营业执照。</w:t>
      </w:r>
    </w:p>
    <w:p w14:paraId="78E96571">
      <w:pPr>
        <w:pageBreakBefore w:val="0"/>
        <w:kinsoku/>
        <w:wordWrap/>
        <w:overflowPunct/>
        <w:topLinePunct w:val="0"/>
        <w:bidi w:val="0"/>
        <w:spacing w:line="560" w:lineRule="exact"/>
        <w:ind w:left="0" w:leftChars="0" w:firstLine="640" w:firstLineChars="200"/>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仿宋_GB2312" w:hAnsi="仿宋_GB2312" w:eastAsia="仿宋_GB2312" w:cs="仿宋_GB2312"/>
          <w:color w:val="auto"/>
          <w:sz w:val="32"/>
          <w:szCs w:val="32"/>
          <w:u w:val="none"/>
          <w:shd w:val="clear" w:color="auto" w:fill="auto"/>
          <w:lang w:val="en-US" w:eastAsia="zh-CN"/>
        </w:rPr>
        <w:t>2.供应商近3年（以合同签订时间为准）承接过企业单位相关业绩，提供合同协议书。</w:t>
      </w:r>
    </w:p>
    <w:p w14:paraId="634C26A4">
      <w:pPr>
        <w:pageBreakBefore w:val="0"/>
        <w:kinsoku/>
        <w:wordWrap/>
        <w:overflowPunct/>
        <w:topLinePunct w:val="0"/>
        <w:bidi w:val="0"/>
        <w:spacing w:line="560" w:lineRule="exact"/>
        <w:ind w:left="0" w:leftChars="0" w:firstLine="640" w:firstLineChars="200"/>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仿宋_GB2312" w:hAnsi="仿宋_GB2312" w:eastAsia="仿宋_GB2312" w:cs="仿宋_GB2312"/>
          <w:color w:val="auto"/>
          <w:sz w:val="32"/>
          <w:szCs w:val="32"/>
          <w:u w:val="none"/>
          <w:shd w:val="clear" w:color="auto" w:fill="auto"/>
          <w:lang w:val="en-US" w:eastAsia="zh-CN"/>
        </w:rPr>
        <w:t>3.供应商未被中国执行信息公开网列入失信被执行人，提供中国执行信息公开网（http://zxgk.court.gov.cn/shixin/）网页查询截图。</w:t>
      </w:r>
    </w:p>
    <w:p w14:paraId="4740C81C">
      <w:pPr>
        <w:pageBreakBefore w:val="0"/>
        <w:kinsoku/>
        <w:wordWrap/>
        <w:overflowPunct/>
        <w:topLinePunct w:val="0"/>
        <w:bidi w:val="0"/>
        <w:spacing w:line="560" w:lineRule="exact"/>
        <w:ind w:left="0" w:leftChars="0" w:firstLine="640" w:firstLineChars="200"/>
        <w:textAlignment w:val="auto"/>
        <w:rPr>
          <w:rFonts w:hint="eastAsia" w:ascii="仿宋_GB2312" w:hAnsi="仿宋_GB2312" w:eastAsia="仿宋_GB2312" w:cs="仿宋_GB2312"/>
          <w:color w:val="auto"/>
          <w:sz w:val="32"/>
          <w:szCs w:val="32"/>
          <w:u w:val="none"/>
          <w:shd w:val="clear" w:color="auto" w:fill="auto"/>
          <w:lang w:val="en-US" w:eastAsia="zh-CN"/>
        </w:rPr>
      </w:pPr>
      <w:r>
        <w:rPr>
          <w:rFonts w:hint="eastAsia" w:ascii="仿宋_GB2312" w:hAnsi="仿宋_GB2312" w:eastAsia="仿宋_GB2312" w:cs="仿宋_GB2312"/>
          <w:color w:val="auto"/>
          <w:sz w:val="32"/>
          <w:szCs w:val="32"/>
          <w:u w:val="none"/>
          <w:shd w:val="clear" w:color="auto" w:fill="auto"/>
          <w:lang w:val="en-US" w:eastAsia="zh-CN"/>
        </w:rPr>
        <w:t>4.单位负责人为同一人或者存在直接控股、管理关系的不同供应商，不得参加本项目同一合同项下的采购活动。</w:t>
      </w:r>
    </w:p>
    <w:p w14:paraId="13081779">
      <w:pPr>
        <w:pageBreakBefore w:val="0"/>
        <w:tabs>
          <w:tab w:val="left" w:pos="3045"/>
          <w:tab w:val="left" w:pos="8310"/>
        </w:tabs>
        <w:kinsoku/>
        <w:wordWrap/>
        <w:overflowPunct/>
        <w:topLinePunct w:val="0"/>
        <w:autoSpaceDE w:val="0"/>
        <w:autoSpaceDN w:val="0"/>
        <w:bidi w:val="0"/>
        <w:adjustRightInd w:val="0"/>
        <w:snapToGrid w:val="0"/>
        <w:spacing w:line="560" w:lineRule="exact"/>
        <w:ind w:left="0" w:leftChars="0" w:firstLine="640" w:firstLineChars="200"/>
        <w:jc w:val="left"/>
        <w:textAlignment w:val="auto"/>
        <w:rPr>
          <w:rFonts w:hint="eastAsia" w:ascii="仿宋" w:hAnsi="仿宋" w:eastAsia="仿宋" w:cs="仿宋"/>
          <w:snapToGrid w:val="0"/>
          <w:color w:val="auto"/>
          <w:kern w:val="0"/>
          <w:sz w:val="32"/>
          <w:szCs w:val="32"/>
        </w:rPr>
      </w:pP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本次招标不接受联合体投标。</w:t>
      </w:r>
    </w:p>
    <w:p w14:paraId="042E965B">
      <w:pPr>
        <w:pageBreakBefore w:val="0"/>
        <w:kinsoku/>
        <w:wordWrap/>
        <w:overflowPunct/>
        <w:topLinePunct w:val="0"/>
        <w:autoSpaceDE w:val="0"/>
        <w:autoSpaceDN w:val="0"/>
        <w:bidi w:val="0"/>
        <w:adjustRightInd w:val="0"/>
        <w:snapToGrid w:val="0"/>
        <w:spacing w:line="560" w:lineRule="exact"/>
        <w:ind w:left="0" w:leftChars="0"/>
        <w:jc w:val="left"/>
        <w:textAlignment w:val="auto"/>
        <w:outlineLvl w:val="1"/>
        <w:rPr>
          <w:rFonts w:hint="eastAsia" w:ascii="仿宋" w:hAnsi="仿宋" w:eastAsia="仿宋" w:cs="仿宋"/>
          <w:b/>
          <w:snapToGrid w:val="0"/>
          <w:color w:val="auto"/>
          <w:spacing w:val="1"/>
          <w:w w:val="99"/>
          <w:sz w:val="32"/>
          <w:szCs w:val="32"/>
        </w:rPr>
      </w:pPr>
      <w:bookmarkStart w:id="37" w:name="_Toc293123425"/>
      <w:bookmarkStart w:id="38" w:name="_Toc200359430"/>
      <w:bookmarkStart w:id="39" w:name="_Toc331514013"/>
      <w:bookmarkStart w:id="40" w:name="_Toc504984598"/>
      <w:bookmarkStart w:id="41" w:name="_Toc488397840"/>
      <w:bookmarkStart w:id="42" w:name="_Toc228772448"/>
      <w:bookmarkStart w:id="43" w:name="_Toc241483851"/>
      <w:bookmarkStart w:id="44" w:name="_Toc263665265"/>
      <w:bookmarkStart w:id="45" w:name="_Toc263665455"/>
      <w:bookmarkStart w:id="46" w:name="_Toc282525923"/>
      <w:bookmarkStart w:id="47" w:name="_Toc200359241"/>
      <w:bookmarkStart w:id="48" w:name="_Toc331519034"/>
      <w:r>
        <w:rPr>
          <w:rFonts w:hint="eastAsia" w:ascii="仿宋" w:hAnsi="仿宋" w:eastAsia="仿宋" w:cs="仿宋"/>
          <w:b/>
          <w:snapToGrid w:val="0"/>
          <w:color w:val="auto"/>
          <w:spacing w:val="1"/>
          <w:w w:val="99"/>
          <w:sz w:val="32"/>
          <w:szCs w:val="32"/>
          <w:lang w:val="en-US" w:eastAsia="zh-CN"/>
        </w:rPr>
        <w:t>四、</w:t>
      </w:r>
      <w:r>
        <w:rPr>
          <w:rFonts w:hint="eastAsia" w:ascii="仿宋" w:hAnsi="仿宋" w:eastAsia="仿宋" w:cs="仿宋"/>
          <w:b/>
          <w:snapToGrid w:val="0"/>
          <w:color w:val="auto"/>
          <w:spacing w:val="1"/>
          <w:w w:val="99"/>
          <w:sz w:val="32"/>
          <w:szCs w:val="32"/>
        </w:rPr>
        <w:t>招标文件的获取</w:t>
      </w:r>
      <w:bookmarkEnd w:id="37"/>
      <w:bookmarkEnd w:id="38"/>
      <w:bookmarkEnd w:id="39"/>
      <w:bookmarkEnd w:id="40"/>
      <w:bookmarkEnd w:id="41"/>
      <w:bookmarkEnd w:id="42"/>
      <w:bookmarkEnd w:id="43"/>
      <w:bookmarkEnd w:id="44"/>
      <w:bookmarkEnd w:id="45"/>
      <w:bookmarkEnd w:id="46"/>
      <w:bookmarkEnd w:id="47"/>
      <w:bookmarkEnd w:id="48"/>
    </w:p>
    <w:p w14:paraId="0797D95F">
      <w:pPr>
        <w:pageBreakBefore w:val="0"/>
        <w:widowControl/>
        <w:kinsoku/>
        <w:wordWrap/>
        <w:overflowPunct/>
        <w:topLinePunct w:val="0"/>
        <w:bidi w:val="0"/>
        <w:snapToGrid w:val="0"/>
        <w:spacing w:line="560" w:lineRule="exact"/>
        <w:ind w:left="0" w:leftChars="0" w:firstLine="640" w:firstLineChars="200"/>
        <w:jc w:val="left"/>
        <w:textAlignment w:val="auto"/>
        <w:rPr>
          <w:rFonts w:hint="eastAsia" w:ascii="仿宋" w:hAnsi="仿宋" w:eastAsia="仿宋" w:cs="仿宋"/>
          <w:color w:val="auto"/>
          <w:kern w:val="0"/>
          <w:sz w:val="32"/>
          <w:szCs w:val="32"/>
        </w:rPr>
      </w:pPr>
      <w:bookmarkStart w:id="49" w:name="_Toc282525924"/>
      <w:bookmarkStart w:id="50" w:name="_Toc241483852"/>
      <w:bookmarkStart w:id="51" w:name="_Toc263665266"/>
      <w:bookmarkStart w:id="52" w:name="_Toc293123426"/>
      <w:bookmarkStart w:id="53" w:name="_Toc228772449"/>
      <w:bookmarkStart w:id="54" w:name="_Toc200359431"/>
      <w:bookmarkStart w:id="55" w:name="_Toc200359242"/>
      <w:bookmarkStart w:id="56" w:name="_Toc263665456"/>
      <w:r>
        <w:rPr>
          <w:rFonts w:hint="eastAsia" w:ascii="仿宋" w:hAnsi="仿宋" w:eastAsia="仿宋" w:cs="仿宋"/>
          <w:color w:val="auto"/>
          <w:sz w:val="32"/>
          <w:szCs w:val="32"/>
        </w:rPr>
        <w:t>招标文件将统一</w:t>
      </w:r>
      <w:r>
        <w:rPr>
          <w:rFonts w:hint="eastAsia" w:ascii="仿宋" w:hAnsi="仿宋" w:eastAsia="仿宋" w:cs="仿宋"/>
          <w:color w:val="auto"/>
          <w:sz w:val="32"/>
          <w:szCs w:val="32"/>
          <w:lang w:val="en-US" w:eastAsia="zh-CN"/>
        </w:rPr>
        <w:t>在襄阳三中官网发布</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val="en-US" w:eastAsia="zh-CN"/>
        </w:rPr>
        <w:t>自行下载</w:t>
      </w:r>
      <w:r>
        <w:rPr>
          <w:rFonts w:hint="eastAsia" w:ascii="仿宋" w:hAnsi="仿宋" w:eastAsia="仿宋" w:cs="仿宋"/>
          <w:color w:val="auto"/>
          <w:kern w:val="0"/>
          <w:sz w:val="32"/>
          <w:szCs w:val="32"/>
        </w:rPr>
        <w:t>电子版招标文件。</w:t>
      </w:r>
    </w:p>
    <w:p w14:paraId="7657FA00">
      <w:pPr>
        <w:pageBreakBefore w:val="0"/>
        <w:kinsoku/>
        <w:wordWrap/>
        <w:overflowPunct/>
        <w:topLinePunct w:val="0"/>
        <w:autoSpaceDE w:val="0"/>
        <w:autoSpaceDN w:val="0"/>
        <w:bidi w:val="0"/>
        <w:adjustRightInd w:val="0"/>
        <w:snapToGrid w:val="0"/>
        <w:spacing w:line="560" w:lineRule="exact"/>
        <w:ind w:left="0" w:leftChars="0"/>
        <w:jc w:val="left"/>
        <w:textAlignment w:val="auto"/>
        <w:outlineLvl w:val="1"/>
        <w:rPr>
          <w:rFonts w:hint="eastAsia" w:ascii="仿宋" w:hAnsi="仿宋" w:eastAsia="仿宋" w:cs="仿宋"/>
          <w:b/>
          <w:snapToGrid w:val="0"/>
          <w:color w:val="auto"/>
          <w:spacing w:val="1"/>
          <w:w w:val="99"/>
          <w:sz w:val="32"/>
          <w:szCs w:val="32"/>
        </w:rPr>
      </w:pPr>
      <w:bookmarkStart w:id="57" w:name="_Toc504984599"/>
      <w:bookmarkStart w:id="58" w:name="_Toc488397841"/>
      <w:bookmarkStart w:id="59" w:name="_Toc331514014"/>
      <w:bookmarkStart w:id="60" w:name="_Toc331519035"/>
      <w:r>
        <w:rPr>
          <w:rFonts w:hint="eastAsia" w:ascii="仿宋" w:hAnsi="仿宋" w:eastAsia="仿宋" w:cs="仿宋"/>
          <w:b/>
          <w:snapToGrid w:val="0"/>
          <w:color w:val="auto"/>
          <w:spacing w:val="1"/>
          <w:w w:val="99"/>
          <w:sz w:val="32"/>
          <w:szCs w:val="32"/>
          <w:lang w:val="en-US" w:eastAsia="zh-CN"/>
        </w:rPr>
        <w:t>五、</w:t>
      </w:r>
      <w:r>
        <w:rPr>
          <w:rFonts w:hint="eastAsia" w:ascii="仿宋" w:hAnsi="仿宋" w:eastAsia="仿宋" w:cs="仿宋"/>
          <w:b/>
          <w:snapToGrid w:val="0"/>
          <w:color w:val="auto"/>
          <w:spacing w:val="1"/>
          <w:w w:val="99"/>
          <w:sz w:val="32"/>
          <w:szCs w:val="32"/>
        </w:rPr>
        <w:t>投标文件的递交</w:t>
      </w:r>
      <w:bookmarkEnd w:id="49"/>
      <w:bookmarkEnd w:id="50"/>
      <w:bookmarkEnd w:id="51"/>
      <w:bookmarkEnd w:id="52"/>
      <w:bookmarkEnd w:id="53"/>
      <w:bookmarkEnd w:id="54"/>
      <w:bookmarkEnd w:id="55"/>
      <w:bookmarkEnd w:id="56"/>
      <w:bookmarkEnd w:id="57"/>
      <w:bookmarkEnd w:id="58"/>
      <w:bookmarkEnd w:id="59"/>
      <w:bookmarkEnd w:id="60"/>
    </w:p>
    <w:p w14:paraId="7D766EE4">
      <w:pPr>
        <w:pageBreakBefore w:val="0"/>
        <w:tabs>
          <w:tab w:val="left" w:pos="2000"/>
          <w:tab w:val="left" w:pos="5580"/>
          <w:tab w:val="left" w:pos="6220"/>
          <w:tab w:val="left" w:pos="6840"/>
          <w:tab w:val="left" w:pos="7460"/>
          <w:tab w:val="left" w:pos="8100"/>
        </w:tabs>
        <w:kinsoku/>
        <w:wordWrap/>
        <w:overflowPunct/>
        <w:topLinePunct w:val="0"/>
        <w:autoSpaceDE w:val="0"/>
        <w:autoSpaceDN w:val="0"/>
        <w:bidi w:val="0"/>
        <w:adjustRightInd w:val="0"/>
        <w:snapToGrid w:val="0"/>
        <w:spacing w:line="560" w:lineRule="exact"/>
        <w:ind w:left="0" w:leftChars="0" w:firstLine="640" w:firstLineChars="200"/>
        <w:jc w:val="left"/>
        <w:textAlignment w:val="auto"/>
        <w:rPr>
          <w:rFonts w:hint="eastAsia" w:ascii="仿宋" w:hAnsi="仿宋" w:eastAsia="仿宋" w:cs="仿宋"/>
          <w:color w:val="auto"/>
          <w:kern w:val="0"/>
          <w:sz w:val="32"/>
          <w:szCs w:val="32"/>
          <w:lang w:eastAsia="zh-CN"/>
        </w:rPr>
      </w:pPr>
      <w:r>
        <w:rPr>
          <w:rFonts w:hint="eastAsia" w:ascii="仿宋" w:hAnsi="仿宋" w:eastAsia="仿宋" w:cs="仿宋"/>
          <w:snapToGrid w:val="0"/>
          <w:color w:val="auto"/>
          <w:kern w:val="0"/>
          <w:sz w:val="32"/>
          <w:szCs w:val="32"/>
          <w:lang w:val="en-US" w:eastAsia="zh-CN"/>
        </w:rPr>
        <w:t>1.</w:t>
      </w:r>
      <w:r>
        <w:rPr>
          <w:rFonts w:hint="eastAsia" w:ascii="仿宋" w:hAnsi="仿宋" w:eastAsia="仿宋" w:cs="仿宋"/>
          <w:snapToGrid w:val="0"/>
          <w:color w:val="auto"/>
          <w:kern w:val="0"/>
          <w:sz w:val="32"/>
          <w:szCs w:val="32"/>
        </w:rPr>
        <w:t>投标截止时间：</w:t>
      </w:r>
      <w:r>
        <w:rPr>
          <w:rFonts w:hint="eastAsia" w:ascii="仿宋" w:hAnsi="仿宋" w:eastAsia="仿宋" w:cs="仿宋"/>
          <w:b/>
          <w:snapToGrid w:val="0"/>
          <w:color w:val="auto"/>
          <w:kern w:val="0"/>
          <w:sz w:val="32"/>
          <w:szCs w:val="32"/>
          <w:u w:val="single"/>
        </w:rPr>
        <w:t xml:space="preserve"> 2024年 </w:t>
      </w:r>
      <w:r>
        <w:rPr>
          <w:rFonts w:hint="eastAsia" w:ascii="仿宋" w:hAnsi="仿宋" w:eastAsia="仿宋" w:cs="仿宋"/>
          <w:b/>
          <w:snapToGrid w:val="0"/>
          <w:color w:val="auto"/>
          <w:kern w:val="0"/>
          <w:sz w:val="32"/>
          <w:szCs w:val="32"/>
          <w:u w:val="single"/>
          <w:lang w:val="en-US" w:eastAsia="zh-CN"/>
        </w:rPr>
        <w:t>10</w:t>
      </w:r>
      <w:r>
        <w:rPr>
          <w:rFonts w:hint="eastAsia" w:ascii="仿宋" w:hAnsi="仿宋" w:eastAsia="仿宋" w:cs="仿宋"/>
          <w:b/>
          <w:snapToGrid w:val="0"/>
          <w:color w:val="auto"/>
          <w:kern w:val="0"/>
          <w:sz w:val="32"/>
          <w:szCs w:val="32"/>
          <w:u w:val="single"/>
        </w:rPr>
        <w:t>月</w:t>
      </w:r>
      <w:r>
        <w:rPr>
          <w:rFonts w:hint="eastAsia" w:ascii="仿宋" w:hAnsi="仿宋" w:eastAsia="仿宋" w:cs="仿宋"/>
          <w:b/>
          <w:snapToGrid w:val="0"/>
          <w:color w:val="auto"/>
          <w:kern w:val="0"/>
          <w:sz w:val="32"/>
          <w:szCs w:val="32"/>
          <w:u w:val="single"/>
          <w:lang w:val="en-US" w:eastAsia="zh-CN"/>
        </w:rPr>
        <w:t xml:space="preserve"> 10</w:t>
      </w:r>
      <w:r>
        <w:rPr>
          <w:rFonts w:hint="eastAsia" w:ascii="仿宋" w:hAnsi="仿宋" w:eastAsia="仿宋" w:cs="仿宋"/>
          <w:b/>
          <w:snapToGrid w:val="0"/>
          <w:color w:val="auto"/>
          <w:kern w:val="0"/>
          <w:sz w:val="32"/>
          <w:szCs w:val="32"/>
          <w:u w:val="single"/>
        </w:rPr>
        <w:t>日</w:t>
      </w:r>
      <w:r>
        <w:rPr>
          <w:rFonts w:hint="eastAsia" w:ascii="仿宋" w:hAnsi="仿宋" w:eastAsia="仿宋" w:cs="仿宋"/>
          <w:b/>
          <w:color w:val="auto"/>
          <w:kern w:val="0"/>
          <w:sz w:val="32"/>
          <w:szCs w:val="32"/>
          <w:u w:val="single"/>
        </w:rPr>
        <w:t xml:space="preserve"> </w:t>
      </w:r>
      <w:r>
        <w:rPr>
          <w:rFonts w:hint="eastAsia" w:ascii="仿宋" w:hAnsi="仿宋" w:eastAsia="仿宋" w:cs="仿宋"/>
          <w:b/>
          <w:color w:val="auto"/>
          <w:kern w:val="0"/>
          <w:sz w:val="32"/>
          <w:szCs w:val="32"/>
          <w:u w:val="single"/>
          <w:lang w:val="en-US" w:eastAsia="zh-CN"/>
        </w:rPr>
        <w:t xml:space="preserve">9:00 </w:t>
      </w:r>
      <w:r>
        <w:rPr>
          <w:rFonts w:hint="eastAsia" w:ascii="仿宋" w:hAnsi="仿宋" w:eastAsia="仿宋" w:cs="仿宋"/>
          <w:b/>
          <w:color w:val="auto"/>
          <w:kern w:val="0"/>
          <w:sz w:val="32"/>
          <w:szCs w:val="32"/>
          <w:u w:val="single"/>
        </w:rPr>
        <w:t xml:space="preserve"> </w:t>
      </w:r>
      <w:r>
        <w:rPr>
          <w:rFonts w:hint="eastAsia" w:ascii="仿宋" w:hAnsi="仿宋" w:eastAsia="仿宋" w:cs="仿宋"/>
          <w:b/>
          <w:color w:val="auto"/>
          <w:kern w:val="0"/>
          <w:sz w:val="32"/>
          <w:szCs w:val="32"/>
        </w:rPr>
        <w:t>时</w:t>
      </w:r>
      <w:r>
        <w:rPr>
          <w:rFonts w:hint="eastAsia" w:ascii="仿宋" w:hAnsi="仿宋" w:eastAsia="仿宋" w:cs="仿宋"/>
          <w:b/>
          <w:color w:val="auto"/>
          <w:kern w:val="0"/>
          <w:sz w:val="32"/>
          <w:szCs w:val="32"/>
          <w:lang w:eastAsia="zh-CN"/>
        </w:rPr>
        <w:t>。</w:t>
      </w:r>
    </w:p>
    <w:p w14:paraId="1D2EDE1C">
      <w:pPr>
        <w:pageBreakBefore w:val="0"/>
        <w:tabs>
          <w:tab w:val="left" w:pos="0"/>
          <w:tab w:val="left" w:pos="5580"/>
          <w:tab w:val="left" w:pos="6220"/>
          <w:tab w:val="left" w:pos="6840"/>
          <w:tab w:val="left" w:pos="7460"/>
          <w:tab w:val="left" w:pos="8100"/>
        </w:tabs>
        <w:kinsoku/>
        <w:wordWrap/>
        <w:overflowPunct/>
        <w:topLinePunct w:val="0"/>
        <w:autoSpaceDE w:val="0"/>
        <w:autoSpaceDN w:val="0"/>
        <w:bidi w:val="0"/>
        <w:adjustRightInd w:val="0"/>
        <w:snapToGrid w:val="0"/>
        <w:spacing w:line="560" w:lineRule="exact"/>
        <w:ind w:left="0" w:leftChars="0" w:firstLine="640" w:firstLineChars="200"/>
        <w:jc w:val="left"/>
        <w:textAlignment w:val="auto"/>
        <w:rPr>
          <w:rFonts w:hint="default" w:ascii="仿宋" w:hAnsi="仿宋" w:eastAsia="仿宋" w:cs="仿宋"/>
          <w:b/>
          <w:snapToGrid w:val="0"/>
          <w:color w:val="auto"/>
          <w:kern w:val="0"/>
          <w:sz w:val="32"/>
          <w:szCs w:val="32"/>
          <w:u w:val="single"/>
          <w:lang w:val="en-US" w:eastAsia="zh-CN"/>
        </w:rPr>
      </w:pPr>
      <w:r>
        <w:rPr>
          <w:rFonts w:hint="eastAsia" w:ascii="仿宋" w:hAnsi="仿宋" w:eastAsia="仿宋" w:cs="仿宋"/>
          <w:snapToGrid w:val="0"/>
          <w:color w:val="auto"/>
          <w:kern w:val="0"/>
          <w:sz w:val="32"/>
          <w:szCs w:val="32"/>
          <w:lang w:val="en-US" w:eastAsia="zh-CN"/>
        </w:rPr>
        <w:t>2.</w:t>
      </w:r>
      <w:r>
        <w:rPr>
          <w:rFonts w:hint="eastAsia" w:ascii="仿宋" w:hAnsi="仿宋" w:eastAsia="仿宋" w:cs="仿宋"/>
          <w:snapToGrid w:val="0"/>
          <w:color w:val="auto"/>
          <w:kern w:val="0"/>
          <w:sz w:val="32"/>
          <w:szCs w:val="32"/>
        </w:rPr>
        <w:t>投标地点：</w:t>
      </w:r>
      <w:r>
        <w:rPr>
          <w:rFonts w:hint="eastAsia" w:ascii="仿宋" w:hAnsi="仿宋" w:eastAsia="仿宋" w:cs="仿宋"/>
          <w:snapToGrid w:val="0"/>
          <w:color w:val="auto"/>
          <w:sz w:val="32"/>
          <w:szCs w:val="32"/>
        </w:rPr>
        <w:t>湖北省襄阳</w:t>
      </w:r>
      <w:r>
        <w:rPr>
          <w:rFonts w:hint="eastAsia" w:ascii="仿宋" w:hAnsi="仿宋" w:eastAsia="仿宋" w:cs="仿宋"/>
          <w:snapToGrid w:val="0"/>
          <w:color w:val="auto"/>
          <w:sz w:val="32"/>
          <w:szCs w:val="32"/>
          <w:lang w:eastAsia="zh-CN"/>
        </w:rPr>
        <w:t>市东津新区楚山路</w:t>
      </w:r>
      <w:r>
        <w:rPr>
          <w:rFonts w:hint="eastAsia" w:ascii="仿宋" w:hAnsi="仿宋" w:eastAsia="仿宋" w:cs="仿宋"/>
          <w:snapToGrid w:val="0"/>
          <w:color w:val="auto"/>
          <w:sz w:val="32"/>
          <w:szCs w:val="32"/>
          <w:lang w:val="en-US" w:eastAsia="zh-CN"/>
        </w:rPr>
        <w:t>16号</w:t>
      </w:r>
      <w:r>
        <w:rPr>
          <w:rFonts w:hint="eastAsia" w:ascii="仿宋" w:hAnsi="仿宋" w:eastAsia="仿宋" w:cs="仿宋"/>
          <w:snapToGrid w:val="0"/>
          <w:color w:val="auto"/>
          <w:sz w:val="32"/>
          <w:szCs w:val="32"/>
          <w:lang w:eastAsia="zh-CN"/>
        </w:rPr>
        <w:t>襄阳市第三中学</w:t>
      </w:r>
      <w:r>
        <w:rPr>
          <w:rFonts w:hint="eastAsia" w:ascii="仿宋" w:hAnsi="仿宋" w:eastAsia="仿宋" w:cs="仿宋"/>
          <w:snapToGrid w:val="0"/>
          <w:color w:val="auto"/>
          <w:kern w:val="0"/>
          <w:sz w:val="32"/>
          <w:szCs w:val="32"/>
          <w:lang w:eastAsia="zh-CN"/>
        </w:rPr>
        <w:t>办公楼</w:t>
      </w:r>
      <w:r>
        <w:rPr>
          <w:rFonts w:hint="eastAsia" w:ascii="仿宋" w:hAnsi="仿宋" w:eastAsia="仿宋" w:cs="仿宋"/>
          <w:snapToGrid w:val="0"/>
          <w:color w:val="auto"/>
          <w:kern w:val="0"/>
          <w:sz w:val="32"/>
          <w:szCs w:val="32"/>
          <w:lang w:val="en-US" w:eastAsia="zh-CN"/>
        </w:rPr>
        <w:t>二</w:t>
      </w:r>
      <w:r>
        <w:rPr>
          <w:rFonts w:hint="eastAsia" w:ascii="仿宋" w:hAnsi="仿宋" w:eastAsia="仿宋" w:cs="仿宋"/>
          <w:snapToGrid w:val="0"/>
          <w:color w:val="auto"/>
          <w:kern w:val="0"/>
          <w:sz w:val="32"/>
          <w:szCs w:val="32"/>
        </w:rPr>
        <w:t>楼</w:t>
      </w:r>
      <w:r>
        <w:rPr>
          <w:rFonts w:hint="eastAsia" w:ascii="仿宋" w:hAnsi="仿宋" w:eastAsia="仿宋" w:cs="仿宋"/>
          <w:snapToGrid w:val="0"/>
          <w:color w:val="auto"/>
          <w:kern w:val="0"/>
          <w:sz w:val="32"/>
          <w:szCs w:val="32"/>
          <w:lang w:val="en-US" w:eastAsia="zh-CN"/>
        </w:rPr>
        <w:t>210室。</w:t>
      </w:r>
    </w:p>
    <w:p w14:paraId="52289F81">
      <w:pPr>
        <w:pageBreakBefore w:val="0"/>
        <w:kinsoku/>
        <w:wordWrap/>
        <w:overflowPunct/>
        <w:topLinePunct w:val="0"/>
        <w:autoSpaceDE w:val="0"/>
        <w:autoSpaceDN w:val="0"/>
        <w:bidi w:val="0"/>
        <w:adjustRightInd w:val="0"/>
        <w:snapToGrid w:val="0"/>
        <w:spacing w:line="560" w:lineRule="exact"/>
        <w:ind w:left="0" w:leftChars="0" w:firstLine="640" w:firstLineChars="200"/>
        <w:jc w:val="left"/>
        <w:textAlignment w:val="auto"/>
        <w:rPr>
          <w:rFonts w:hint="eastAsia" w:ascii="仿宋" w:hAnsi="仿宋" w:eastAsia="仿宋" w:cs="仿宋"/>
          <w:snapToGrid w:val="0"/>
          <w:kern w:val="0"/>
          <w:sz w:val="32"/>
          <w:szCs w:val="32"/>
        </w:rPr>
      </w:pPr>
      <w:r>
        <w:rPr>
          <w:rFonts w:hint="eastAsia" w:ascii="仿宋" w:hAnsi="仿宋" w:eastAsia="仿宋" w:cs="仿宋"/>
          <w:snapToGrid w:val="0"/>
          <w:color w:val="auto"/>
          <w:kern w:val="0"/>
          <w:sz w:val="32"/>
          <w:szCs w:val="32"/>
          <w:lang w:val="en-US" w:eastAsia="zh-CN"/>
        </w:rPr>
        <w:t>3.</w:t>
      </w:r>
      <w:r>
        <w:rPr>
          <w:rFonts w:hint="eastAsia" w:ascii="仿宋" w:hAnsi="仿宋" w:eastAsia="仿宋" w:cs="仿宋"/>
          <w:snapToGrid w:val="0"/>
          <w:color w:val="auto"/>
          <w:kern w:val="0"/>
          <w:sz w:val="32"/>
          <w:szCs w:val="32"/>
        </w:rPr>
        <w:t>逾期送达的或者未送达指定地点的投标文件，招标人不予受理</w:t>
      </w:r>
      <w:r>
        <w:rPr>
          <w:rFonts w:hint="eastAsia" w:ascii="仿宋" w:hAnsi="仿宋" w:eastAsia="仿宋" w:cs="仿宋"/>
          <w:snapToGrid w:val="0"/>
          <w:kern w:val="0"/>
          <w:sz w:val="32"/>
          <w:szCs w:val="32"/>
        </w:rPr>
        <w:t>。</w:t>
      </w:r>
    </w:p>
    <w:p w14:paraId="38EA8E16">
      <w:pPr>
        <w:pageBreakBefore w:val="0"/>
        <w:kinsoku/>
        <w:wordWrap/>
        <w:overflowPunct/>
        <w:topLinePunct w:val="0"/>
        <w:autoSpaceDE w:val="0"/>
        <w:autoSpaceDN w:val="0"/>
        <w:bidi w:val="0"/>
        <w:adjustRightInd w:val="0"/>
        <w:snapToGrid w:val="0"/>
        <w:spacing w:line="560" w:lineRule="exact"/>
        <w:ind w:left="0" w:leftChars="0"/>
        <w:jc w:val="left"/>
        <w:textAlignment w:val="auto"/>
        <w:outlineLvl w:val="1"/>
        <w:rPr>
          <w:rFonts w:hint="eastAsia" w:ascii="仿宋" w:hAnsi="仿宋" w:eastAsia="仿宋" w:cs="仿宋"/>
          <w:b/>
          <w:snapToGrid w:val="0"/>
          <w:spacing w:val="1"/>
          <w:w w:val="99"/>
          <w:sz w:val="32"/>
          <w:szCs w:val="32"/>
        </w:rPr>
      </w:pPr>
      <w:bookmarkStart w:id="61" w:name="_Toc331514016"/>
      <w:bookmarkStart w:id="62" w:name="_Toc293123428"/>
      <w:bookmarkStart w:id="63" w:name="_Toc241483854"/>
      <w:bookmarkStart w:id="64" w:name="_Toc263665268"/>
      <w:bookmarkStart w:id="65" w:name="_Toc228772451"/>
      <w:bookmarkStart w:id="66" w:name="_Toc263665458"/>
      <w:bookmarkStart w:id="67" w:name="_Toc282525926"/>
      <w:bookmarkStart w:id="68" w:name="_Toc331519036"/>
      <w:bookmarkStart w:id="69" w:name="_Toc488397842"/>
      <w:bookmarkStart w:id="70" w:name="_Toc504984600"/>
      <w:r>
        <w:rPr>
          <w:rFonts w:hint="eastAsia" w:ascii="仿宋" w:hAnsi="仿宋" w:eastAsia="仿宋" w:cs="仿宋"/>
          <w:b/>
          <w:snapToGrid w:val="0"/>
          <w:spacing w:val="1"/>
          <w:w w:val="99"/>
          <w:sz w:val="32"/>
          <w:szCs w:val="32"/>
          <w:lang w:val="en-US" w:eastAsia="zh-CN"/>
        </w:rPr>
        <w:t>六、</w:t>
      </w:r>
      <w:r>
        <w:rPr>
          <w:rFonts w:hint="eastAsia" w:ascii="仿宋" w:hAnsi="仿宋" w:eastAsia="仿宋" w:cs="仿宋"/>
          <w:b/>
          <w:snapToGrid w:val="0"/>
          <w:spacing w:val="1"/>
          <w:w w:val="99"/>
          <w:sz w:val="32"/>
          <w:szCs w:val="32"/>
        </w:rPr>
        <w:t>联系方式</w:t>
      </w:r>
      <w:bookmarkEnd w:id="61"/>
      <w:bookmarkEnd w:id="62"/>
      <w:bookmarkEnd w:id="63"/>
      <w:bookmarkEnd w:id="64"/>
      <w:bookmarkEnd w:id="65"/>
      <w:bookmarkEnd w:id="66"/>
      <w:bookmarkEnd w:id="67"/>
      <w:bookmarkEnd w:id="68"/>
      <w:bookmarkEnd w:id="69"/>
      <w:bookmarkEnd w:id="70"/>
    </w:p>
    <w:p w14:paraId="78B60EF8">
      <w:pPr>
        <w:pageBreakBefore w:val="0"/>
        <w:widowControl/>
        <w:kinsoku/>
        <w:wordWrap/>
        <w:overflowPunct/>
        <w:topLinePunct w:val="0"/>
        <w:bidi w:val="0"/>
        <w:adjustRightInd w:val="0"/>
        <w:snapToGrid w:val="0"/>
        <w:spacing w:line="5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联系人：</w:t>
      </w:r>
      <w:r>
        <w:rPr>
          <w:rFonts w:hint="eastAsia" w:ascii="仿宋" w:hAnsi="仿宋" w:eastAsia="仿宋" w:cs="仿宋"/>
          <w:sz w:val="32"/>
          <w:szCs w:val="32"/>
          <w:lang w:val="en-US" w:eastAsia="zh-CN"/>
        </w:rPr>
        <w:t>李丛</w:t>
      </w:r>
    </w:p>
    <w:p w14:paraId="12BA5355">
      <w:pPr>
        <w:pageBreakBefore w:val="0"/>
        <w:widowControl/>
        <w:kinsoku/>
        <w:wordWrap/>
        <w:overflowPunct/>
        <w:topLinePunct w:val="0"/>
        <w:bidi w:val="0"/>
        <w:adjustRightInd w:val="0"/>
        <w:snapToGrid w:val="0"/>
        <w:spacing w:line="560" w:lineRule="exact"/>
        <w:ind w:left="0" w:leftChars="0" w:firstLine="640" w:firstLineChars="200"/>
        <w:jc w:val="left"/>
        <w:textAlignment w:val="auto"/>
        <w:rPr>
          <w:rFonts w:hint="eastAsia" w:cs="Times New Roman"/>
          <w:kern w:val="0"/>
          <w:sz w:val="44"/>
          <w:szCs w:val="44"/>
        </w:rPr>
      </w:pPr>
      <w:r>
        <w:rPr>
          <w:rFonts w:hint="eastAsia" w:ascii="仿宋" w:hAnsi="仿宋" w:eastAsia="仿宋" w:cs="仿宋"/>
          <w:sz w:val="32"/>
          <w:szCs w:val="32"/>
          <w:lang w:val="en-US" w:eastAsia="zh-CN"/>
        </w:rPr>
        <w:t xml:space="preserve">联系电话：15571007600      </w:t>
      </w:r>
      <w:r>
        <w:rPr>
          <w:rFonts w:hint="eastAsia" w:ascii="仿宋" w:hAnsi="仿宋" w:eastAsia="仿宋" w:cs="仿宋"/>
          <w:kern w:val="0"/>
          <w:sz w:val="32"/>
          <w:szCs w:val="32"/>
          <w:lang w:bidi="ar"/>
        </w:rPr>
        <w:t xml:space="preserve">   </w:t>
      </w:r>
      <w:r>
        <w:rPr>
          <w:rFonts w:hint="eastAsia" w:ascii="仿宋" w:hAnsi="仿宋" w:eastAsia="仿宋" w:cs="仿宋"/>
          <w:kern w:val="0"/>
          <w:sz w:val="32"/>
          <w:szCs w:val="32"/>
          <w:lang w:val="en-US" w:eastAsia="zh-CN" w:bidi="ar"/>
        </w:rPr>
        <w:t xml:space="preserve">           </w:t>
      </w:r>
      <w:bookmarkStart w:id="71" w:name="_Toc488397843"/>
      <w:bookmarkStart w:id="72" w:name="_Toc504984601"/>
    </w:p>
    <w:p w14:paraId="256EA043">
      <w:pPr>
        <w:numPr>
          <w:ilvl w:val="0"/>
          <w:numId w:val="2"/>
        </w:numPr>
        <w:topLinePunct/>
        <w:ind w:firstLine="2650" w:firstLineChars="600"/>
        <w:rPr>
          <w:rFonts w:hint="eastAsia" w:cs="Times New Roman"/>
          <w:b/>
          <w:bCs/>
          <w:kern w:val="0"/>
          <w:sz w:val="44"/>
          <w:szCs w:val="44"/>
        </w:rPr>
      </w:pPr>
      <w:r>
        <w:rPr>
          <w:rFonts w:hint="eastAsia" w:cs="Times New Roman"/>
          <w:b/>
          <w:bCs/>
          <w:kern w:val="0"/>
          <w:sz w:val="44"/>
          <w:szCs w:val="44"/>
        </w:rPr>
        <w:t>投标人须知</w:t>
      </w:r>
      <w:bookmarkEnd w:id="71"/>
      <w:bookmarkEnd w:id="72"/>
    </w:p>
    <w:p w14:paraId="5DAA5CDA">
      <w:pPr>
        <w:numPr>
          <w:ilvl w:val="0"/>
          <w:numId w:val="0"/>
        </w:numPr>
        <w:topLinePunct/>
        <w:rPr>
          <w:rFonts w:hint="eastAsia" w:cs="Times New Roman"/>
          <w:b/>
          <w:bCs/>
          <w:kern w:val="0"/>
          <w:sz w:val="44"/>
          <w:szCs w:val="44"/>
        </w:rPr>
      </w:pPr>
    </w:p>
    <w:p w14:paraId="3B233721">
      <w:pPr>
        <w:autoSpaceDE w:val="0"/>
        <w:autoSpaceDN w:val="0"/>
        <w:adjustRightInd w:val="0"/>
        <w:snapToGrid w:val="0"/>
        <w:spacing w:line="360" w:lineRule="auto"/>
        <w:jc w:val="left"/>
        <w:outlineLvl w:val="0"/>
        <w:rPr>
          <w:rFonts w:eastAsia="黑体" w:cs="Times New Roman"/>
          <w:sz w:val="32"/>
          <w:szCs w:val="32"/>
        </w:rPr>
      </w:pPr>
      <w:bookmarkStart w:id="73" w:name="_Toc282525927"/>
      <w:bookmarkStart w:id="74" w:name="_Toc331514017"/>
      <w:bookmarkStart w:id="75" w:name="_Toc488397844"/>
      <w:bookmarkStart w:id="76" w:name="_Toc504984602"/>
      <w:bookmarkStart w:id="77" w:name="_Toc331519037"/>
      <w:r>
        <w:rPr>
          <w:rFonts w:hint="eastAsia" w:eastAsia="黑体" w:cs="Times New Roman"/>
          <w:sz w:val="32"/>
          <w:szCs w:val="32"/>
        </w:rPr>
        <w:t>投标人须知前附表</w:t>
      </w:r>
      <w:bookmarkEnd w:id="73"/>
      <w:bookmarkEnd w:id="74"/>
      <w:bookmarkEnd w:id="75"/>
      <w:bookmarkEnd w:id="76"/>
      <w:bookmarkEnd w:id="77"/>
    </w:p>
    <w:tbl>
      <w:tblPr>
        <w:tblStyle w:val="6"/>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842"/>
        <w:gridCol w:w="6379"/>
      </w:tblGrid>
      <w:tr w14:paraId="610BA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93" w:type="dxa"/>
            <w:vAlign w:val="center"/>
          </w:tcPr>
          <w:p w14:paraId="39A3CAD2">
            <w:pPr>
              <w:jc w:val="center"/>
              <w:rPr>
                <w:rFonts w:cs="Times New Roman"/>
                <w:b/>
                <w:kern w:val="0"/>
                <w:szCs w:val="20"/>
              </w:rPr>
            </w:pPr>
            <w:r>
              <w:rPr>
                <w:rFonts w:hint="eastAsia" w:cs="Times New Roman"/>
                <w:b/>
                <w:kern w:val="0"/>
                <w:szCs w:val="20"/>
              </w:rPr>
              <w:t>条款号</w:t>
            </w:r>
          </w:p>
        </w:tc>
        <w:tc>
          <w:tcPr>
            <w:tcW w:w="1842" w:type="dxa"/>
            <w:vAlign w:val="center"/>
          </w:tcPr>
          <w:p w14:paraId="145DAFB2">
            <w:pPr>
              <w:jc w:val="center"/>
              <w:rPr>
                <w:rFonts w:cs="Times New Roman"/>
                <w:b/>
                <w:kern w:val="0"/>
                <w:szCs w:val="20"/>
              </w:rPr>
            </w:pPr>
            <w:r>
              <w:rPr>
                <w:rFonts w:hint="eastAsia" w:cs="Times New Roman"/>
                <w:b/>
                <w:kern w:val="0"/>
                <w:szCs w:val="20"/>
              </w:rPr>
              <w:t>条款名称</w:t>
            </w:r>
          </w:p>
        </w:tc>
        <w:tc>
          <w:tcPr>
            <w:tcW w:w="6379" w:type="dxa"/>
            <w:vAlign w:val="center"/>
          </w:tcPr>
          <w:p w14:paraId="2DB5F1A8">
            <w:pPr>
              <w:jc w:val="center"/>
              <w:rPr>
                <w:rFonts w:cs="Times New Roman"/>
                <w:b/>
                <w:kern w:val="0"/>
                <w:szCs w:val="20"/>
              </w:rPr>
            </w:pPr>
            <w:r>
              <w:rPr>
                <w:rFonts w:hint="eastAsia" w:cs="Times New Roman"/>
                <w:b/>
                <w:kern w:val="0"/>
                <w:szCs w:val="20"/>
              </w:rPr>
              <w:t>编  列  内  容</w:t>
            </w:r>
          </w:p>
        </w:tc>
      </w:tr>
      <w:tr w14:paraId="6C36A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4DA126E0">
            <w:pPr>
              <w:jc w:val="center"/>
              <w:rPr>
                <w:rFonts w:cs="Times New Roman"/>
                <w:kern w:val="0"/>
                <w:szCs w:val="20"/>
              </w:rPr>
            </w:pPr>
            <w:r>
              <w:rPr>
                <w:rFonts w:hint="eastAsia" w:cs="Times New Roman"/>
                <w:kern w:val="0"/>
                <w:szCs w:val="20"/>
              </w:rPr>
              <w:t>1.1.2</w:t>
            </w:r>
          </w:p>
        </w:tc>
        <w:tc>
          <w:tcPr>
            <w:tcW w:w="1842" w:type="dxa"/>
            <w:vAlign w:val="center"/>
          </w:tcPr>
          <w:p w14:paraId="45D0EE6D">
            <w:pPr>
              <w:jc w:val="center"/>
              <w:rPr>
                <w:rFonts w:cs="Times New Roman"/>
                <w:kern w:val="0"/>
                <w:szCs w:val="20"/>
              </w:rPr>
            </w:pPr>
            <w:r>
              <w:rPr>
                <w:rFonts w:hint="eastAsia" w:cs="Times New Roman"/>
                <w:kern w:val="0"/>
                <w:szCs w:val="20"/>
              </w:rPr>
              <w:t>招标人</w:t>
            </w:r>
          </w:p>
        </w:tc>
        <w:tc>
          <w:tcPr>
            <w:tcW w:w="6379" w:type="dxa"/>
            <w:vAlign w:val="center"/>
          </w:tcPr>
          <w:p w14:paraId="68A63547">
            <w:pPr>
              <w:rPr>
                <w:rFonts w:hint="eastAsia" w:eastAsia="宋体" w:cs="Times New Roman"/>
                <w:kern w:val="0"/>
                <w:szCs w:val="20"/>
                <w:lang w:eastAsia="zh-CN"/>
              </w:rPr>
            </w:pPr>
            <w:r>
              <w:rPr>
                <w:rFonts w:hint="eastAsia" w:cs="Times New Roman"/>
                <w:kern w:val="0"/>
                <w:szCs w:val="20"/>
              </w:rPr>
              <w:t>名  称：</w:t>
            </w:r>
            <w:r>
              <w:rPr>
                <w:rFonts w:hint="eastAsia" w:cs="Times New Roman"/>
                <w:kern w:val="0"/>
                <w:szCs w:val="20"/>
                <w:lang w:eastAsia="zh-CN"/>
              </w:rPr>
              <w:t>襄阳市第三中学</w:t>
            </w:r>
          </w:p>
        </w:tc>
      </w:tr>
      <w:tr w14:paraId="3DF15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4547841C">
            <w:pPr>
              <w:jc w:val="center"/>
              <w:rPr>
                <w:rFonts w:cs="Times New Roman"/>
                <w:kern w:val="0"/>
                <w:szCs w:val="20"/>
              </w:rPr>
            </w:pPr>
            <w:r>
              <w:rPr>
                <w:rFonts w:hint="eastAsia" w:cs="Times New Roman"/>
                <w:kern w:val="0"/>
                <w:szCs w:val="20"/>
              </w:rPr>
              <w:t>1.1.3</w:t>
            </w:r>
          </w:p>
        </w:tc>
        <w:tc>
          <w:tcPr>
            <w:tcW w:w="1842" w:type="dxa"/>
            <w:vAlign w:val="center"/>
          </w:tcPr>
          <w:p w14:paraId="3A2D17E8">
            <w:pPr>
              <w:jc w:val="center"/>
              <w:rPr>
                <w:rFonts w:cs="Times New Roman"/>
                <w:kern w:val="0"/>
                <w:szCs w:val="20"/>
              </w:rPr>
            </w:pPr>
            <w:r>
              <w:rPr>
                <w:rFonts w:hint="eastAsia" w:cs="Times New Roman"/>
                <w:kern w:val="0"/>
                <w:szCs w:val="20"/>
              </w:rPr>
              <w:t>招标代理机构</w:t>
            </w:r>
          </w:p>
        </w:tc>
        <w:tc>
          <w:tcPr>
            <w:tcW w:w="6379" w:type="dxa"/>
            <w:vAlign w:val="center"/>
          </w:tcPr>
          <w:p w14:paraId="35B472C9">
            <w:pPr>
              <w:rPr>
                <w:rFonts w:cs="Times New Roman"/>
                <w:szCs w:val="20"/>
              </w:rPr>
            </w:pPr>
            <w:r>
              <w:rPr>
                <w:rFonts w:hint="eastAsia" w:cs="Times New Roman"/>
                <w:szCs w:val="20"/>
              </w:rPr>
              <w:t>/</w:t>
            </w:r>
          </w:p>
        </w:tc>
      </w:tr>
      <w:tr w14:paraId="727D7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7837B01F">
            <w:pPr>
              <w:jc w:val="center"/>
              <w:rPr>
                <w:rFonts w:cs="Times New Roman"/>
                <w:kern w:val="0"/>
                <w:szCs w:val="20"/>
              </w:rPr>
            </w:pPr>
            <w:r>
              <w:rPr>
                <w:rFonts w:hint="eastAsia" w:cs="Times New Roman"/>
                <w:kern w:val="0"/>
                <w:szCs w:val="20"/>
              </w:rPr>
              <w:t>1.1.4</w:t>
            </w:r>
          </w:p>
        </w:tc>
        <w:tc>
          <w:tcPr>
            <w:tcW w:w="1842" w:type="dxa"/>
            <w:vAlign w:val="center"/>
          </w:tcPr>
          <w:p w14:paraId="62A560A4">
            <w:pPr>
              <w:jc w:val="center"/>
              <w:rPr>
                <w:rFonts w:cs="Times New Roman"/>
                <w:kern w:val="0"/>
                <w:szCs w:val="20"/>
              </w:rPr>
            </w:pPr>
            <w:r>
              <w:rPr>
                <w:rFonts w:hint="eastAsia" w:cs="Times New Roman"/>
                <w:kern w:val="0"/>
                <w:szCs w:val="20"/>
              </w:rPr>
              <w:t>项目名称</w:t>
            </w:r>
          </w:p>
        </w:tc>
        <w:tc>
          <w:tcPr>
            <w:tcW w:w="6379" w:type="dxa"/>
            <w:vAlign w:val="center"/>
          </w:tcPr>
          <w:p w14:paraId="2A4A3FBA">
            <w:pPr>
              <w:rPr>
                <w:rFonts w:cs="Times New Roman"/>
                <w:szCs w:val="20"/>
              </w:rPr>
            </w:pPr>
            <w:r>
              <w:rPr>
                <w:rFonts w:hint="eastAsia" w:ascii="宋体" w:hAnsi="宋体" w:cs="Times New Roman"/>
                <w:bCs/>
                <w:szCs w:val="21"/>
                <w:lang w:eastAsia="zh-CN"/>
              </w:rPr>
              <w:t>襄阳市第三中学校园</w:t>
            </w:r>
            <w:r>
              <w:rPr>
                <w:rFonts w:hint="eastAsia" w:ascii="宋体" w:hAnsi="宋体" w:cs="Times New Roman"/>
                <w:bCs/>
                <w:szCs w:val="21"/>
              </w:rPr>
              <w:t>绿化养护工程</w:t>
            </w:r>
          </w:p>
        </w:tc>
      </w:tr>
      <w:tr w14:paraId="33D8D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37F4E061">
            <w:pPr>
              <w:jc w:val="center"/>
              <w:rPr>
                <w:rFonts w:cs="Times New Roman"/>
                <w:kern w:val="0"/>
                <w:szCs w:val="20"/>
              </w:rPr>
            </w:pPr>
            <w:r>
              <w:rPr>
                <w:rFonts w:hint="eastAsia" w:cs="Times New Roman"/>
                <w:kern w:val="0"/>
                <w:szCs w:val="20"/>
              </w:rPr>
              <w:t>1.1.5</w:t>
            </w:r>
          </w:p>
        </w:tc>
        <w:tc>
          <w:tcPr>
            <w:tcW w:w="1842" w:type="dxa"/>
            <w:vAlign w:val="center"/>
          </w:tcPr>
          <w:p w14:paraId="7D94790C">
            <w:pPr>
              <w:jc w:val="center"/>
              <w:rPr>
                <w:rFonts w:cs="Times New Roman"/>
                <w:kern w:val="0"/>
                <w:szCs w:val="20"/>
              </w:rPr>
            </w:pPr>
            <w:r>
              <w:rPr>
                <w:rFonts w:hint="eastAsia" w:cs="Times New Roman"/>
                <w:kern w:val="0"/>
                <w:szCs w:val="20"/>
              </w:rPr>
              <w:t>建设地点</w:t>
            </w:r>
          </w:p>
        </w:tc>
        <w:tc>
          <w:tcPr>
            <w:tcW w:w="6379" w:type="dxa"/>
            <w:vAlign w:val="center"/>
          </w:tcPr>
          <w:p w14:paraId="1E68AF68">
            <w:pPr>
              <w:rPr>
                <w:rFonts w:hint="eastAsia" w:eastAsia="宋体" w:cs="Times New Roman"/>
                <w:szCs w:val="20"/>
                <w:lang w:eastAsia="zh-CN"/>
              </w:rPr>
            </w:pPr>
            <w:r>
              <w:rPr>
                <w:rFonts w:hint="eastAsia" w:ascii="宋体" w:hAnsi="宋体" w:cs="宋体"/>
                <w:snapToGrid w:val="0"/>
                <w:szCs w:val="21"/>
              </w:rPr>
              <w:t>湖北省襄阳市</w:t>
            </w:r>
            <w:r>
              <w:rPr>
                <w:rFonts w:hint="eastAsia" w:ascii="宋体" w:hAnsi="宋体" w:cs="宋体"/>
                <w:snapToGrid w:val="0"/>
                <w:szCs w:val="21"/>
                <w:lang w:eastAsia="zh-CN"/>
              </w:rPr>
              <w:t>东津新区楚山路襄阳三中</w:t>
            </w:r>
          </w:p>
        </w:tc>
      </w:tr>
      <w:tr w14:paraId="7ACE4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59C5A40A">
            <w:pPr>
              <w:jc w:val="center"/>
              <w:rPr>
                <w:rFonts w:cs="Times New Roman"/>
                <w:kern w:val="0"/>
                <w:szCs w:val="20"/>
              </w:rPr>
            </w:pPr>
            <w:r>
              <w:rPr>
                <w:rFonts w:hint="eastAsia" w:cs="Times New Roman"/>
                <w:kern w:val="0"/>
                <w:szCs w:val="20"/>
              </w:rPr>
              <w:t>1.2.1</w:t>
            </w:r>
          </w:p>
        </w:tc>
        <w:tc>
          <w:tcPr>
            <w:tcW w:w="1842" w:type="dxa"/>
            <w:vAlign w:val="center"/>
          </w:tcPr>
          <w:p w14:paraId="473710F9">
            <w:pPr>
              <w:jc w:val="center"/>
              <w:rPr>
                <w:rFonts w:cs="Times New Roman"/>
                <w:kern w:val="0"/>
                <w:szCs w:val="20"/>
              </w:rPr>
            </w:pPr>
            <w:r>
              <w:rPr>
                <w:rFonts w:hint="eastAsia" w:cs="Times New Roman"/>
                <w:kern w:val="0"/>
                <w:szCs w:val="20"/>
              </w:rPr>
              <w:t>资金来源</w:t>
            </w:r>
          </w:p>
        </w:tc>
        <w:tc>
          <w:tcPr>
            <w:tcW w:w="6379" w:type="dxa"/>
            <w:vAlign w:val="center"/>
          </w:tcPr>
          <w:p w14:paraId="02AF3095">
            <w:pPr>
              <w:rPr>
                <w:rFonts w:cs="Times New Roman"/>
                <w:szCs w:val="20"/>
              </w:rPr>
            </w:pPr>
            <w:r>
              <w:rPr>
                <w:rFonts w:hint="eastAsia" w:cs="Times New Roman"/>
                <w:szCs w:val="20"/>
              </w:rPr>
              <w:t>业主自筹</w:t>
            </w:r>
          </w:p>
        </w:tc>
      </w:tr>
      <w:tr w14:paraId="58924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2F3CF9A6">
            <w:pPr>
              <w:jc w:val="center"/>
              <w:rPr>
                <w:rFonts w:cs="Times New Roman"/>
                <w:kern w:val="0"/>
                <w:szCs w:val="20"/>
              </w:rPr>
            </w:pPr>
            <w:r>
              <w:rPr>
                <w:rFonts w:hint="eastAsia" w:cs="Times New Roman"/>
                <w:kern w:val="0"/>
                <w:szCs w:val="20"/>
              </w:rPr>
              <w:t>1.2.2</w:t>
            </w:r>
          </w:p>
        </w:tc>
        <w:tc>
          <w:tcPr>
            <w:tcW w:w="1842" w:type="dxa"/>
            <w:vAlign w:val="center"/>
          </w:tcPr>
          <w:p w14:paraId="2B447077">
            <w:pPr>
              <w:jc w:val="center"/>
              <w:rPr>
                <w:rFonts w:cs="Times New Roman"/>
                <w:kern w:val="0"/>
                <w:szCs w:val="20"/>
              </w:rPr>
            </w:pPr>
            <w:r>
              <w:rPr>
                <w:rFonts w:hint="eastAsia" w:cs="Times New Roman"/>
                <w:kern w:val="0"/>
                <w:szCs w:val="20"/>
              </w:rPr>
              <w:t>出资比</w:t>
            </w:r>
            <w:r>
              <w:rPr>
                <w:rFonts w:hint="eastAsia" w:cs="Times New Roman"/>
                <w:kern w:val="0"/>
                <w:szCs w:val="20"/>
                <w:lang w:val="en-US" w:eastAsia="zh-CN"/>
              </w:rPr>
              <w:t>·</w:t>
            </w:r>
            <w:r>
              <w:rPr>
                <w:rFonts w:hint="eastAsia" w:cs="Times New Roman"/>
                <w:kern w:val="0"/>
                <w:szCs w:val="20"/>
              </w:rPr>
              <w:t>例</w:t>
            </w:r>
          </w:p>
        </w:tc>
        <w:tc>
          <w:tcPr>
            <w:tcW w:w="6379" w:type="dxa"/>
            <w:vAlign w:val="center"/>
          </w:tcPr>
          <w:p w14:paraId="1905AACE">
            <w:pPr>
              <w:rPr>
                <w:rFonts w:cs="Times New Roman"/>
                <w:szCs w:val="20"/>
              </w:rPr>
            </w:pPr>
            <w:r>
              <w:rPr>
                <w:rFonts w:hint="eastAsia" w:cs="Times New Roman"/>
                <w:szCs w:val="20"/>
              </w:rPr>
              <w:t>100％</w:t>
            </w:r>
          </w:p>
        </w:tc>
      </w:tr>
      <w:tr w14:paraId="06B82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24AD38A5">
            <w:pPr>
              <w:jc w:val="center"/>
              <w:rPr>
                <w:rFonts w:cs="Times New Roman"/>
                <w:kern w:val="0"/>
                <w:szCs w:val="20"/>
              </w:rPr>
            </w:pPr>
            <w:r>
              <w:rPr>
                <w:rFonts w:hint="eastAsia" w:cs="Times New Roman"/>
                <w:kern w:val="0"/>
                <w:szCs w:val="20"/>
              </w:rPr>
              <w:t>1.2.3</w:t>
            </w:r>
          </w:p>
        </w:tc>
        <w:tc>
          <w:tcPr>
            <w:tcW w:w="1842" w:type="dxa"/>
            <w:vAlign w:val="center"/>
          </w:tcPr>
          <w:p w14:paraId="0E4F6E28">
            <w:pPr>
              <w:jc w:val="center"/>
              <w:rPr>
                <w:rFonts w:cs="Times New Roman"/>
                <w:kern w:val="0"/>
                <w:szCs w:val="20"/>
              </w:rPr>
            </w:pPr>
            <w:r>
              <w:rPr>
                <w:rFonts w:hint="eastAsia" w:cs="Times New Roman"/>
                <w:kern w:val="0"/>
                <w:szCs w:val="20"/>
              </w:rPr>
              <w:t>资金落实情况</w:t>
            </w:r>
          </w:p>
        </w:tc>
        <w:tc>
          <w:tcPr>
            <w:tcW w:w="6379" w:type="dxa"/>
            <w:vAlign w:val="center"/>
          </w:tcPr>
          <w:p w14:paraId="090712F7">
            <w:pPr>
              <w:rPr>
                <w:rFonts w:cs="Times New Roman"/>
                <w:szCs w:val="20"/>
              </w:rPr>
            </w:pPr>
            <w:r>
              <w:rPr>
                <w:rFonts w:hint="eastAsia" w:cs="Times New Roman"/>
                <w:szCs w:val="20"/>
              </w:rPr>
              <w:t>已落实</w:t>
            </w:r>
          </w:p>
        </w:tc>
      </w:tr>
      <w:tr w14:paraId="233FC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993" w:type="dxa"/>
            <w:vAlign w:val="center"/>
          </w:tcPr>
          <w:p w14:paraId="3559FBCE">
            <w:pPr>
              <w:jc w:val="center"/>
              <w:rPr>
                <w:rFonts w:cs="Times New Roman"/>
                <w:kern w:val="0"/>
                <w:szCs w:val="20"/>
              </w:rPr>
            </w:pPr>
            <w:r>
              <w:rPr>
                <w:rFonts w:hint="eastAsia" w:cs="Times New Roman"/>
                <w:kern w:val="0"/>
                <w:szCs w:val="20"/>
              </w:rPr>
              <w:t>1.3.1</w:t>
            </w:r>
          </w:p>
        </w:tc>
        <w:tc>
          <w:tcPr>
            <w:tcW w:w="1842" w:type="dxa"/>
            <w:vAlign w:val="center"/>
          </w:tcPr>
          <w:p w14:paraId="084458C8">
            <w:pPr>
              <w:jc w:val="center"/>
              <w:rPr>
                <w:rFonts w:cs="Times New Roman"/>
                <w:kern w:val="0"/>
                <w:szCs w:val="20"/>
              </w:rPr>
            </w:pPr>
            <w:r>
              <w:rPr>
                <w:rFonts w:hint="eastAsia" w:cs="Times New Roman"/>
                <w:kern w:val="0"/>
                <w:szCs w:val="20"/>
              </w:rPr>
              <w:t>招标范围</w:t>
            </w:r>
          </w:p>
        </w:tc>
        <w:tc>
          <w:tcPr>
            <w:tcW w:w="6379" w:type="dxa"/>
            <w:vAlign w:val="center"/>
          </w:tcPr>
          <w:p w14:paraId="298381D4">
            <w:pPr>
              <w:rPr>
                <w:rFonts w:cs="Times New Roman"/>
                <w:szCs w:val="20"/>
              </w:rPr>
            </w:pPr>
            <w:r>
              <w:rPr>
                <w:rFonts w:hint="eastAsia" w:cs="Times New Roman"/>
                <w:szCs w:val="20"/>
              </w:rPr>
              <w:t>见第一章2</w:t>
            </w:r>
          </w:p>
        </w:tc>
      </w:tr>
      <w:tr w14:paraId="66360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2700E242">
            <w:pPr>
              <w:jc w:val="center"/>
              <w:rPr>
                <w:rFonts w:cs="Times New Roman"/>
                <w:kern w:val="0"/>
                <w:szCs w:val="20"/>
              </w:rPr>
            </w:pPr>
            <w:r>
              <w:rPr>
                <w:rFonts w:hint="eastAsia" w:cs="Times New Roman"/>
                <w:kern w:val="0"/>
                <w:szCs w:val="20"/>
              </w:rPr>
              <w:t>1.3.2</w:t>
            </w:r>
          </w:p>
        </w:tc>
        <w:tc>
          <w:tcPr>
            <w:tcW w:w="1842" w:type="dxa"/>
            <w:vAlign w:val="center"/>
          </w:tcPr>
          <w:p w14:paraId="6422A9E2">
            <w:pPr>
              <w:jc w:val="center"/>
              <w:rPr>
                <w:rFonts w:cs="Times New Roman"/>
                <w:szCs w:val="20"/>
              </w:rPr>
            </w:pPr>
            <w:bookmarkStart w:id="78" w:name="_Toc488397845"/>
            <w:r>
              <w:rPr>
                <w:rFonts w:hint="eastAsia" w:cs="Times New Roman"/>
                <w:szCs w:val="20"/>
              </w:rPr>
              <w:t>工期要求</w:t>
            </w:r>
            <w:bookmarkEnd w:id="78"/>
          </w:p>
        </w:tc>
        <w:tc>
          <w:tcPr>
            <w:tcW w:w="6379" w:type="dxa"/>
            <w:vAlign w:val="center"/>
          </w:tcPr>
          <w:p w14:paraId="19AB186D">
            <w:pPr>
              <w:rPr>
                <w:rFonts w:cs="Times New Roman"/>
                <w:kern w:val="0"/>
                <w:szCs w:val="20"/>
              </w:rPr>
            </w:pPr>
            <w:r>
              <w:rPr>
                <w:rFonts w:hint="eastAsia" w:cs="Times New Roman"/>
                <w:szCs w:val="20"/>
              </w:rPr>
              <w:t>本标段总工期要求</w:t>
            </w:r>
            <w:r>
              <w:rPr>
                <w:rFonts w:hint="eastAsia" w:cs="Times New Roman"/>
                <w:szCs w:val="20"/>
                <w:lang w:val="en-US" w:eastAsia="zh-CN"/>
              </w:rPr>
              <w:t>365</w:t>
            </w:r>
            <w:r>
              <w:rPr>
                <w:rFonts w:hint="eastAsia" w:cs="Times New Roman"/>
                <w:szCs w:val="20"/>
              </w:rPr>
              <w:t>日历日</w:t>
            </w:r>
          </w:p>
        </w:tc>
      </w:tr>
      <w:tr w14:paraId="1DC9C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4B7FB3DA">
            <w:pPr>
              <w:jc w:val="center"/>
              <w:rPr>
                <w:rFonts w:cs="Times New Roman"/>
                <w:kern w:val="0"/>
                <w:szCs w:val="20"/>
              </w:rPr>
            </w:pPr>
            <w:r>
              <w:rPr>
                <w:rFonts w:hint="eastAsia" w:cs="Times New Roman"/>
                <w:kern w:val="0"/>
                <w:szCs w:val="20"/>
              </w:rPr>
              <w:t>1.3.3</w:t>
            </w:r>
          </w:p>
        </w:tc>
        <w:tc>
          <w:tcPr>
            <w:tcW w:w="1842" w:type="dxa"/>
            <w:vAlign w:val="center"/>
          </w:tcPr>
          <w:p w14:paraId="54699394">
            <w:pPr>
              <w:jc w:val="center"/>
              <w:rPr>
                <w:rFonts w:cs="Times New Roman"/>
                <w:kern w:val="0"/>
                <w:szCs w:val="20"/>
              </w:rPr>
            </w:pPr>
            <w:r>
              <w:rPr>
                <w:rFonts w:hint="eastAsia" w:cs="Times New Roman"/>
                <w:kern w:val="0"/>
                <w:szCs w:val="20"/>
              </w:rPr>
              <w:t>质量要求</w:t>
            </w:r>
          </w:p>
        </w:tc>
        <w:tc>
          <w:tcPr>
            <w:tcW w:w="6379" w:type="dxa"/>
            <w:vAlign w:val="center"/>
          </w:tcPr>
          <w:p w14:paraId="3E90F0DC">
            <w:pPr>
              <w:rPr>
                <w:rFonts w:cs="Times New Roman"/>
                <w:szCs w:val="20"/>
              </w:rPr>
            </w:pPr>
            <w:r>
              <w:rPr>
                <w:rFonts w:hint="eastAsia" w:cs="Times New Roman"/>
                <w:szCs w:val="20"/>
              </w:rPr>
              <w:t>达到双方相关施工质量验收规范要求，并达到合格标准。</w:t>
            </w:r>
          </w:p>
        </w:tc>
      </w:tr>
      <w:tr w14:paraId="471BC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2D4603A6">
            <w:pPr>
              <w:jc w:val="center"/>
              <w:rPr>
                <w:rFonts w:cs="Times New Roman"/>
                <w:kern w:val="0"/>
                <w:szCs w:val="20"/>
              </w:rPr>
            </w:pPr>
            <w:r>
              <w:rPr>
                <w:rFonts w:hint="eastAsia" w:cs="Times New Roman"/>
                <w:kern w:val="0"/>
                <w:szCs w:val="20"/>
              </w:rPr>
              <w:t>1.4.1</w:t>
            </w:r>
          </w:p>
        </w:tc>
        <w:tc>
          <w:tcPr>
            <w:tcW w:w="1842" w:type="dxa"/>
            <w:vAlign w:val="center"/>
          </w:tcPr>
          <w:p w14:paraId="3F2E4D84">
            <w:pPr>
              <w:jc w:val="center"/>
              <w:rPr>
                <w:rFonts w:cs="Times New Roman"/>
                <w:kern w:val="0"/>
                <w:szCs w:val="20"/>
              </w:rPr>
            </w:pPr>
            <w:r>
              <w:rPr>
                <w:rFonts w:hint="eastAsia" w:cs="Times New Roman"/>
                <w:kern w:val="0"/>
                <w:szCs w:val="20"/>
              </w:rPr>
              <w:t>投标人资质条件、能力和信誉</w:t>
            </w:r>
          </w:p>
        </w:tc>
        <w:tc>
          <w:tcPr>
            <w:tcW w:w="6379" w:type="dxa"/>
            <w:vAlign w:val="center"/>
          </w:tcPr>
          <w:p w14:paraId="3F90A081">
            <w:pPr>
              <w:tabs>
                <w:tab w:val="left" w:pos="3840"/>
                <w:tab w:val="left" w:pos="5300"/>
              </w:tabs>
              <w:autoSpaceDE w:val="0"/>
              <w:autoSpaceDN w:val="0"/>
              <w:adjustRightInd w:val="0"/>
              <w:snapToGrid w:val="0"/>
              <w:jc w:val="left"/>
              <w:rPr>
                <w:rFonts w:ascii="宋体" w:hAnsi="宋体" w:cs="Times New Roman"/>
                <w:szCs w:val="20"/>
              </w:rPr>
            </w:pPr>
            <w:r>
              <w:rPr>
                <w:rFonts w:hint="eastAsia" w:ascii="宋体" w:hAnsi="宋体" w:cs="宋体"/>
                <w:kern w:val="0"/>
                <w:szCs w:val="21"/>
              </w:rPr>
              <w:t>必须具有独立法人资格，并在人员、设备、资金等方面具备相应的施工能力，与</w:t>
            </w:r>
            <w:r>
              <w:rPr>
                <w:rFonts w:hint="eastAsia" w:ascii="宋体" w:hAnsi="宋体" w:cs="宋体"/>
                <w:kern w:val="0"/>
                <w:szCs w:val="21"/>
                <w:lang w:eastAsia="zh-CN"/>
              </w:rPr>
              <w:t>襄阳三中</w:t>
            </w:r>
            <w:r>
              <w:rPr>
                <w:rFonts w:hint="eastAsia" w:ascii="宋体" w:hAnsi="宋体" w:cs="宋体"/>
                <w:kern w:val="0"/>
                <w:szCs w:val="21"/>
              </w:rPr>
              <w:t>无不良合作记录。</w:t>
            </w:r>
          </w:p>
        </w:tc>
      </w:tr>
      <w:tr w14:paraId="09427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09A21BA9">
            <w:pPr>
              <w:jc w:val="center"/>
              <w:rPr>
                <w:rFonts w:cs="Times New Roman"/>
                <w:kern w:val="0"/>
                <w:szCs w:val="20"/>
              </w:rPr>
            </w:pPr>
            <w:r>
              <w:rPr>
                <w:rFonts w:hint="eastAsia" w:cs="Times New Roman"/>
                <w:kern w:val="0"/>
                <w:szCs w:val="20"/>
              </w:rPr>
              <w:t>1.4.2</w:t>
            </w:r>
          </w:p>
        </w:tc>
        <w:tc>
          <w:tcPr>
            <w:tcW w:w="1842" w:type="dxa"/>
            <w:vAlign w:val="center"/>
          </w:tcPr>
          <w:p w14:paraId="0DB6FCC0">
            <w:pPr>
              <w:jc w:val="center"/>
              <w:rPr>
                <w:rFonts w:cs="Times New Roman"/>
                <w:kern w:val="0"/>
                <w:szCs w:val="20"/>
              </w:rPr>
            </w:pPr>
            <w:r>
              <w:rPr>
                <w:rFonts w:hint="eastAsia" w:cs="Times New Roman"/>
                <w:kern w:val="0"/>
                <w:szCs w:val="20"/>
              </w:rPr>
              <w:t>是否接受联合体投标</w:t>
            </w:r>
          </w:p>
        </w:tc>
        <w:tc>
          <w:tcPr>
            <w:tcW w:w="6379" w:type="dxa"/>
            <w:vAlign w:val="center"/>
          </w:tcPr>
          <w:p w14:paraId="604E67CA">
            <w:pPr>
              <w:rPr>
                <w:rFonts w:cs="Times New Roman"/>
                <w:kern w:val="0"/>
                <w:szCs w:val="20"/>
              </w:rPr>
            </w:pPr>
            <w:r>
              <w:rPr>
                <w:rFonts w:hint="eastAsia" w:cs="Times New Roman"/>
                <w:kern w:val="0"/>
                <w:szCs w:val="20"/>
              </w:rPr>
              <w:t>不接受</w:t>
            </w:r>
          </w:p>
        </w:tc>
      </w:tr>
      <w:tr w14:paraId="749F9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335E415B">
            <w:pPr>
              <w:jc w:val="center"/>
              <w:rPr>
                <w:rFonts w:cs="Times New Roman"/>
                <w:kern w:val="0"/>
                <w:szCs w:val="20"/>
              </w:rPr>
            </w:pPr>
            <w:r>
              <w:rPr>
                <w:rFonts w:hint="eastAsia" w:cs="Times New Roman"/>
                <w:kern w:val="0"/>
                <w:szCs w:val="20"/>
              </w:rPr>
              <w:t>1.5</w:t>
            </w:r>
          </w:p>
        </w:tc>
        <w:tc>
          <w:tcPr>
            <w:tcW w:w="1842" w:type="dxa"/>
            <w:vAlign w:val="center"/>
          </w:tcPr>
          <w:p w14:paraId="2EF0DC10">
            <w:pPr>
              <w:jc w:val="center"/>
              <w:rPr>
                <w:rFonts w:cs="Times New Roman"/>
                <w:kern w:val="0"/>
                <w:szCs w:val="20"/>
              </w:rPr>
            </w:pPr>
            <w:r>
              <w:rPr>
                <w:rFonts w:hint="eastAsia" w:cs="Times New Roman"/>
                <w:kern w:val="0"/>
                <w:szCs w:val="20"/>
              </w:rPr>
              <w:t>踏勘现场</w:t>
            </w:r>
          </w:p>
        </w:tc>
        <w:tc>
          <w:tcPr>
            <w:tcW w:w="6379" w:type="dxa"/>
            <w:vAlign w:val="center"/>
          </w:tcPr>
          <w:p w14:paraId="522D9FE2">
            <w:pPr>
              <w:rPr>
                <w:rFonts w:cs="Times New Roman"/>
                <w:kern w:val="0"/>
                <w:szCs w:val="20"/>
              </w:rPr>
            </w:pPr>
            <w:r>
              <w:rPr>
                <w:rFonts w:hint="eastAsia" w:cs="Times New Roman"/>
                <w:kern w:val="0"/>
                <w:szCs w:val="20"/>
              </w:rPr>
              <w:t>投标人自行踏勘。无论投标人是否踏勘过现场，均被认为在递交投标文件之前已经踏勘现场，对本合同项目的风险和义务已经十分了解，并在其投标文件中已充分考虑了现场和环境条件。</w:t>
            </w:r>
          </w:p>
        </w:tc>
      </w:tr>
      <w:tr w14:paraId="08C0B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78C5C5C3">
            <w:pPr>
              <w:jc w:val="center"/>
              <w:rPr>
                <w:rFonts w:cs="Times New Roman"/>
                <w:kern w:val="0"/>
                <w:szCs w:val="20"/>
              </w:rPr>
            </w:pPr>
            <w:r>
              <w:rPr>
                <w:rFonts w:cs="Times New Roman"/>
                <w:color w:val="000000"/>
                <w:szCs w:val="20"/>
              </w:rPr>
              <w:t>1.</w:t>
            </w:r>
            <w:r>
              <w:rPr>
                <w:rFonts w:hint="eastAsia" w:cs="Times New Roman"/>
                <w:color w:val="000000"/>
                <w:szCs w:val="20"/>
              </w:rPr>
              <w:t>6</w:t>
            </w:r>
          </w:p>
        </w:tc>
        <w:tc>
          <w:tcPr>
            <w:tcW w:w="1842" w:type="dxa"/>
            <w:vAlign w:val="center"/>
          </w:tcPr>
          <w:p w14:paraId="07961707">
            <w:pPr>
              <w:jc w:val="center"/>
              <w:rPr>
                <w:rFonts w:cs="Times New Roman"/>
                <w:kern w:val="0"/>
                <w:szCs w:val="20"/>
              </w:rPr>
            </w:pPr>
            <w:r>
              <w:rPr>
                <w:rFonts w:cs="Times New Roman"/>
                <w:color w:val="000000"/>
                <w:szCs w:val="20"/>
              </w:rPr>
              <w:t>投标人提出问题的截止时间</w:t>
            </w:r>
          </w:p>
        </w:tc>
        <w:tc>
          <w:tcPr>
            <w:tcW w:w="6379" w:type="dxa"/>
            <w:vAlign w:val="center"/>
          </w:tcPr>
          <w:p w14:paraId="7D42D1F9">
            <w:pPr>
              <w:rPr>
                <w:rFonts w:cs="Times New Roman"/>
                <w:kern w:val="0"/>
                <w:szCs w:val="20"/>
              </w:rPr>
            </w:pPr>
            <w:r>
              <w:rPr>
                <w:rFonts w:hint="eastAsia" w:cs="Times New Roman"/>
                <w:color w:val="000000"/>
                <w:kern w:val="0"/>
                <w:szCs w:val="20"/>
                <w:u w:val="single"/>
              </w:rPr>
              <w:t xml:space="preserve"> 2024</w:t>
            </w:r>
            <w:r>
              <w:rPr>
                <w:rFonts w:hint="eastAsia" w:cs="Times New Roman"/>
                <w:color w:val="000000"/>
                <w:kern w:val="0"/>
                <w:szCs w:val="20"/>
              </w:rPr>
              <w:t>年</w:t>
            </w:r>
            <w:r>
              <w:rPr>
                <w:rFonts w:hint="eastAsia" w:cs="Times New Roman"/>
                <w:color w:val="000000"/>
                <w:kern w:val="0"/>
                <w:szCs w:val="20"/>
                <w:u w:val="single"/>
              </w:rPr>
              <w:t xml:space="preserve"> </w:t>
            </w:r>
            <w:r>
              <w:rPr>
                <w:rFonts w:hint="eastAsia" w:cs="Times New Roman"/>
                <w:color w:val="000000"/>
                <w:kern w:val="0"/>
                <w:szCs w:val="20"/>
                <w:u w:val="single"/>
                <w:lang w:val="en-US" w:eastAsia="zh-CN"/>
              </w:rPr>
              <w:t xml:space="preserve">10  </w:t>
            </w:r>
            <w:r>
              <w:rPr>
                <w:rFonts w:hint="eastAsia" w:cs="Times New Roman"/>
                <w:color w:val="000000"/>
                <w:kern w:val="0"/>
                <w:szCs w:val="20"/>
              </w:rPr>
              <w:t>月</w:t>
            </w:r>
            <w:r>
              <w:rPr>
                <w:rFonts w:hint="eastAsia" w:cs="Times New Roman"/>
                <w:color w:val="000000"/>
                <w:kern w:val="0"/>
                <w:szCs w:val="20"/>
                <w:u w:val="single"/>
              </w:rPr>
              <w:t xml:space="preserve"> </w:t>
            </w:r>
            <w:r>
              <w:rPr>
                <w:rFonts w:hint="eastAsia" w:cs="Times New Roman"/>
                <w:color w:val="000000"/>
                <w:kern w:val="0"/>
                <w:szCs w:val="20"/>
                <w:u w:val="single"/>
                <w:lang w:val="en-US" w:eastAsia="zh-CN"/>
              </w:rPr>
              <w:t xml:space="preserve"> 9 </w:t>
            </w:r>
            <w:r>
              <w:rPr>
                <w:rFonts w:hint="eastAsia" w:cs="Times New Roman"/>
                <w:color w:val="000000"/>
                <w:kern w:val="0"/>
                <w:szCs w:val="20"/>
                <w:u w:val="single"/>
              </w:rPr>
              <w:t xml:space="preserve"> </w:t>
            </w:r>
            <w:r>
              <w:rPr>
                <w:rFonts w:hint="eastAsia" w:cs="Times New Roman"/>
                <w:color w:val="000000"/>
                <w:kern w:val="0"/>
                <w:szCs w:val="20"/>
              </w:rPr>
              <w:t>日</w:t>
            </w:r>
            <w:r>
              <w:rPr>
                <w:rFonts w:hint="eastAsia" w:cs="Times New Roman"/>
                <w:color w:val="000000"/>
                <w:kern w:val="0"/>
                <w:szCs w:val="20"/>
                <w:u w:val="single"/>
              </w:rPr>
              <w:t xml:space="preserve"> 16:00 </w:t>
            </w:r>
            <w:r>
              <w:rPr>
                <w:rFonts w:hint="eastAsia" w:cs="Times New Roman"/>
                <w:color w:val="000000"/>
                <w:kern w:val="0"/>
                <w:szCs w:val="20"/>
              </w:rPr>
              <w:t>时前</w:t>
            </w:r>
          </w:p>
        </w:tc>
      </w:tr>
      <w:tr w14:paraId="09E14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4193D6BA">
            <w:pPr>
              <w:jc w:val="center"/>
              <w:rPr>
                <w:rFonts w:cs="Times New Roman"/>
                <w:color w:val="000000"/>
                <w:szCs w:val="20"/>
              </w:rPr>
            </w:pPr>
            <w:r>
              <w:rPr>
                <w:rFonts w:cs="Times New Roman"/>
                <w:szCs w:val="20"/>
              </w:rPr>
              <w:t>1.7</w:t>
            </w:r>
          </w:p>
        </w:tc>
        <w:tc>
          <w:tcPr>
            <w:tcW w:w="1842" w:type="dxa"/>
            <w:vAlign w:val="center"/>
          </w:tcPr>
          <w:p w14:paraId="1F6EC1DC">
            <w:pPr>
              <w:jc w:val="center"/>
              <w:rPr>
                <w:rFonts w:cs="Times New Roman"/>
                <w:color w:val="000000"/>
                <w:kern w:val="0"/>
                <w:szCs w:val="20"/>
              </w:rPr>
            </w:pPr>
            <w:r>
              <w:rPr>
                <w:rFonts w:hint="eastAsia" w:cs="Times New Roman"/>
                <w:szCs w:val="20"/>
              </w:rPr>
              <w:t>招标人书面澄清的时间</w:t>
            </w:r>
          </w:p>
        </w:tc>
        <w:tc>
          <w:tcPr>
            <w:tcW w:w="6379" w:type="dxa"/>
            <w:vAlign w:val="center"/>
          </w:tcPr>
          <w:p w14:paraId="5DFDFF28">
            <w:pPr>
              <w:rPr>
                <w:rFonts w:cs="Times New Roman"/>
                <w:color w:val="000000"/>
                <w:kern w:val="0"/>
                <w:szCs w:val="20"/>
              </w:rPr>
            </w:pPr>
            <w:r>
              <w:rPr>
                <w:rFonts w:hint="eastAsia" w:cs="Times New Roman"/>
                <w:szCs w:val="20"/>
              </w:rPr>
              <w:t>招标人将无论是澄清和修改还是疑问答复内容进行整理，并以书面或电子形式发给每一个被邀请的潜在投标人（答复中包括问题但不包括问题的来源），该答复的内容为招标文件的组成部分。</w:t>
            </w:r>
          </w:p>
        </w:tc>
      </w:tr>
      <w:tr w14:paraId="56E2C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7696AE0C">
            <w:pPr>
              <w:jc w:val="center"/>
              <w:rPr>
                <w:rFonts w:cs="Times New Roman"/>
                <w:szCs w:val="20"/>
              </w:rPr>
            </w:pPr>
            <w:r>
              <w:rPr>
                <w:rFonts w:hint="eastAsia" w:cs="Times New Roman"/>
                <w:kern w:val="0"/>
                <w:szCs w:val="20"/>
              </w:rPr>
              <w:t>1.8</w:t>
            </w:r>
          </w:p>
        </w:tc>
        <w:tc>
          <w:tcPr>
            <w:tcW w:w="1842" w:type="dxa"/>
            <w:vAlign w:val="center"/>
          </w:tcPr>
          <w:p w14:paraId="5ED0C34C">
            <w:pPr>
              <w:jc w:val="center"/>
              <w:rPr>
                <w:rFonts w:cs="Times New Roman"/>
                <w:kern w:val="0"/>
                <w:szCs w:val="20"/>
                <w:highlight w:val="yellow"/>
              </w:rPr>
            </w:pPr>
            <w:r>
              <w:rPr>
                <w:rFonts w:hint="eastAsia" w:cs="Times New Roman"/>
                <w:kern w:val="0"/>
                <w:szCs w:val="20"/>
              </w:rPr>
              <w:t>分包</w:t>
            </w:r>
          </w:p>
        </w:tc>
        <w:tc>
          <w:tcPr>
            <w:tcW w:w="6379" w:type="dxa"/>
            <w:vAlign w:val="center"/>
          </w:tcPr>
          <w:p w14:paraId="0B5ECE67">
            <w:pPr>
              <w:rPr>
                <w:rFonts w:cs="Times New Roman"/>
                <w:kern w:val="0"/>
                <w:szCs w:val="20"/>
                <w:highlight w:val="yellow"/>
              </w:rPr>
            </w:pPr>
            <w:r>
              <w:rPr>
                <w:rFonts w:hint="eastAsia" w:cs="Times New Roman"/>
                <w:kern w:val="0"/>
                <w:szCs w:val="20"/>
              </w:rPr>
              <w:t>不允许</w:t>
            </w:r>
          </w:p>
        </w:tc>
      </w:tr>
      <w:tr w14:paraId="6A394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174D65E2">
            <w:pPr>
              <w:jc w:val="center"/>
              <w:rPr>
                <w:rFonts w:cs="Times New Roman"/>
                <w:kern w:val="0"/>
                <w:szCs w:val="20"/>
              </w:rPr>
            </w:pPr>
            <w:r>
              <w:rPr>
                <w:rFonts w:hint="eastAsia" w:cs="Times New Roman"/>
                <w:kern w:val="0"/>
                <w:szCs w:val="20"/>
              </w:rPr>
              <w:t>2.1</w:t>
            </w:r>
          </w:p>
        </w:tc>
        <w:tc>
          <w:tcPr>
            <w:tcW w:w="1842" w:type="dxa"/>
            <w:vAlign w:val="center"/>
          </w:tcPr>
          <w:p w14:paraId="0D82A280">
            <w:pPr>
              <w:jc w:val="center"/>
              <w:rPr>
                <w:rFonts w:cs="Times New Roman"/>
                <w:kern w:val="0"/>
                <w:szCs w:val="20"/>
              </w:rPr>
            </w:pPr>
            <w:r>
              <w:rPr>
                <w:rFonts w:hint="eastAsia" w:cs="Times New Roman"/>
                <w:kern w:val="0"/>
                <w:szCs w:val="20"/>
              </w:rPr>
              <w:t>构成招标文件的其他材料</w:t>
            </w:r>
          </w:p>
        </w:tc>
        <w:tc>
          <w:tcPr>
            <w:tcW w:w="6379" w:type="dxa"/>
          </w:tcPr>
          <w:p w14:paraId="50531361">
            <w:pPr>
              <w:rPr>
                <w:rFonts w:hint="default" w:eastAsia="宋体" w:cs="Times New Roman"/>
                <w:kern w:val="0"/>
                <w:szCs w:val="20"/>
                <w:lang w:val="en-US" w:eastAsia="zh-CN"/>
              </w:rPr>
            </w:pPr>
            <w:r>
              <w:rPr>
                <w:rFonts w:hint="eastAsia" w:cs="Times New Roman"/>
                <w:kern w:val="0"/>
                <w:szCs w:val="20"/>
                <w:lang w:val="en-US" w:eastAsia="zh-CN"/>
              </w:rPr>
              <w:t>无</w:t>
            </w:r>
          </w:p>
        </w:tc>
      </w:tr>
      <w:tr w14:paraId="5092B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791A7F90">
            <w:pPr>
              <w:jc w:val="center"/>
              <w:rPr>
                <w:rFonts w:cs="Times New Roman"/>
                <w:kern w:val="0"/>
                <w:szCs w:val="20"/>
              </w:rPr>
            </w:pPr>
            <w:r>
              <w:rPr>
                <w:rFonts w:hint="eastAsia" w:cs="Times New Roman"/>
                <w:kern w:val="0"/>
                <w:szCs w:val="20"/>
              </w:rPr>
              <w:t>2.2</w:t>
            </w:r>
          </w:p>
        </w:tc>
        <w:tc>
          <w:tcPr>
            <w:tcW w:w="1842" w:type="dxa"/>
            <w:vAlign w:val="center"/>
          </w:tcPr>
          <w:p w14:paraId="77860D05">
            <w:pPr>
              <w:jc w:val="center"/>
              <w:rPr>
                <w:rFonts w:cs="Times New Roman"/>
                <w:szCs w:val="20"/>
              </w:rPr>
            </w:pPr>
            <w:r>
              <w:rPr>
                <w:rFonts w:hint="eastAsia" w:cs="Times New Roman"/>
                <w:kern w:val="0"/>
                <w:szCs w:val="20"/>
              </w:rPr>
              <w:t>投标截止时间</w:t>
            </w:r>
          </w:p>
        </w:tc>
        <w:tc>
          <w:tcPr>
            <w:tcW w:w="6379" w:type="dxa"/>
            <w:vAlign w:val="center"/>
          </w:tcPr>
          <w:p w14:paraId="18AB9621">
            <w:pPr>
              <w:rPr>
                <w:rFonts w:cs="Times New Roman"/>
                <w:szCs w:val="20"/>
              </w:rPr>
            </w:pPr>
            <w:r>
              <w:rPr>
                <w:rFonts w:hint="eastAsia" w:cs="Times New Roman"/>
                <w:color w:val="000000"/>
                <w:sz w:val="24"/>
                <w:szCs w:val="24"/>
                <w:u w:val="single"/>
              </w:rPr>
              <w:t xml:space="preserve">2024 </w:t>
            </w:r>
            <w:r>
              <w:rPr>
                <w:rFonts w:hint="eastAsia" w:cs="Times New Roman"/>
                <w:color w:val="000000"/>
                <w:sz w:val="24"/>
                <w:szCs w:val="24"/>
              </w:rPr>
              <w:t>年</w:t>
            </w:r>
            <w:r>
              <w:rPr>
                <w:rFonts w:hint="eastAsia" w:cs="Times New Roman"/>
                <w:color w:val="000000"/>
                <w:sz w:val="24"/>
                <w:szCs w:val="24"/>
                <w:u w:val="single"/>
              </w:rPr>
              <w:t xml:space="preserve"> </w:t>
            </w:r>
            <w:r>
              <w:rPr>
                <w:rFonts w:hint="eastAsia" w:cs="Times New Roman"/>
                <w:color w:val="000000"/>
                <w:sz w:val="24"/>
                <w:szCs w:val="24"/>
                <w:u w:val="single"/>
                <w:lang w:val="en-US" w:eastAsia="zh-CN"/>
              </w:rPr>
              <w:t xml:space="preserve"> 10 </w:t>
            </w:r>
            <w:r>
              <w:rPr>
                <w:rFonts w:hint="eastAsia" w:cs="Times New Roman"/>
                <w:color w:val="000000"/>
                <w:sz w:val="24"/>
                <w:szCs w:val="24"/>
              </w:rPr>
              <w:t>月</w:t>
            </w:r>
            <w:r>
              <w:rPr>
                <w:rFonts w:hint="eastAsia" w:cs="Times New Roman"/>
                <w:color w:val="000000"/>
                <w:sz w:val="24"/>
                <w:szCs w:val="24"/>
                <w:u w:val="single"/>
              </w:rPr>
              <w:t xml:space="preserve"> </w:t>
            </w:r>
            <w:r>
              <w:rPr>
                <w:rFonts w:hint="eastAsia" w:cs="Times New Roman"/>
                <w:color w:val="000000"/>
                <w:sz w:val="24"/>
                <w:szCs w:val="24"/>
                <w:u w:val="single"/>
                <w:lang w:val="en-US" w:eastAsia="zh-CN"/>
              </w:rPr>
              <w:t xml:space="preserve">10 </w:t>
            </w:r>
            <w:r>
              <w:rPr>
                <w:rFonts w:hint="eastAsia" w:cs="Times New Roman"/>
                <w:color w:val="000000"/>
                <w:sz w:val="24"/>
                <w:szCs w:val="24"/>
              </w:rPr>
              <w:t>日</w:t>
            </w:r>
            <w:r>
              <w:rPr>
                <w:rFonts w:hint="eastAsia" w:cs="Times New Roman"/>
                <w:color w:val="000000"/>
                <w:sz w:val="24"/>
                <w:szCs w:val="24"/>
                <w:u w:val="single"/>
              </w:rPr>
              <w:t xml:space="preserve"> </w:t>
            </w:r>
            <w:r>
              <w:rPr>
                <w:rFonts w:hint="eastAsia" w:cs="Times New Roman"/>
                <w:color w:val="000000"/>
                <w:sz w:val="24"/>
                <w:szCs w:val="24"/>
                <w:u w:val="single"/>
                <w:lang w:val="en-US" w:eastAsia="zh-CN"/>
              </w:rPr>
              <w:t xml:space="preserve"> 9 </w:t>
            </w:r>
            <w:r>
              <w:rPr>
                <w:rFonts w:hint="eastAsia" w:cs="Times New Roman"/>
                <w:color w:val="000000"/>
                <w:sz w:val="24"/>
                <w:szCs w:val="24"/>
              </w:rPr>
              <w:t>时</w:t>
            </w:r>
            <w:r>
              <w:rPr>
                <w:rFonts w:hint="eastAsia" w:cs="Times New Roman"/>
                <w:color w:val="000000"/>
                <w:sz w:val="24"/>
                <w:szCs w:val="24"/>
                <w:u w:val="single"/>
              </w:rPr>
              <w:t xml:space="preserve"> 00</w:t>
            </w:r>
            <w:r>
              <w:rPr>
                <w:rFonts w:hint="eastAsia" w:cs="Times New Roman"/>
                <w:color w:val="000000"/>
                <w:sz w:val="24"/>
                <w:szCs w:val="24"/>
              </w:rPr>
              <w:t>分</w:t>
            </w:r>
            <w:r>
              <w:rPr>
                <w:rFonts w:hint="eastAsia" w:cs="Times New Roman"/>
                <w:szCs w:val="20"/>
              </w:rPr>
              <w:t>（北京时间）</w:t>
            </w:r>
          </w:p>
        </w:tc>
      </w:tr>
      <w:tr w14:paraId="41C60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286F44E5">
            <w:pPr>
              <w:jc w:val="center"/>
              <w:rPr>
                <w:rFonts w:cs="Times New Roman"/>
                <w:kern w:val="0"/>
                <w:szCs w:val="20"/>
              </w:rPr>
            </w:pPr>
            <w:r>
              <w:rPr>
                <w:rFonts w:hint="eastAsia" w:cs="Times New Roman"/>
                <w:kern w:val="0"/>
                <w:szCs w:val="20"/>
              </w:rPr>
              <w:t>3.1</w:t>
            </w:r>
          </w:p>
        </w:tc>
        <w:tc>
          <w:tcPr>
            <w:tcW w:w="1842" w:type="dxa"/>
            <w:vAlign w:val="center"/>
          </w:tcPr>
          <w:p w14:paraId="455597F5">
            <w:pPr>
              <w:jc w:val="center"/>
              <w:rPr>
                <w:rFonts w:cs="Times New Roman"/>
                <w:kern w:val="0"/>
                <w:szCs w:val="20"/>
              </w:rPr>
            </w:pPr>
            <w:r>
              <w:rPr>
                <w:rFonts w:hint="eastAsia" w:cs="Times New Roman"/>
                <w:kern w:val="0"/>
                <w:szCs w:val="20"/>
              </w:rPr>
              <w:t>构成投标文件的其他材料</w:t>
            </w:r>
          </w:p>
        </w:tc>
        <w:tc>
          <w:tcPr>
            <w:tcW w:w="6379" w:type="dxa"/>
            <w:vAlign w:val="center"/>
          </w:tcPr>
          <w:p w14:paraId="0B802A84">
            <w:pPr>
              <w:widowControl/>
              <w:adjustRightInd w:val="0"/>
              <w:snapToGrid w:val="0"/>
              <w:spacing w:line="360" w:lineRule="auto"/>
              <w:ind w:firstLine="420" w:firstLineChars="200"/>
              <w:rPr>
                <w:rFonts w:cs="Times New Roman"/>
                <w:color w:val="FF0000"/>
                <w:kern w:val="0"/>
                <w:szCs w:val="20"/>
              </w:rPr>
            </w:pPr>
            <w:r>
              <w:rPr>
                <w:rFonts w:hint="eastAsia" w:cs="Times New Roman"/>
                <w:szCs w:val="20"/>
              </w:rPr>
              <w:t>投标文件电子版和投标人所认为准备的其他业绩或证明材料。</w:t>
            </w:r>
            <w:r>
              <w:rPr>
                <w:rFonts w:hint="eastAsia" w:ascii="宋体" w:hAnsi="宋体" w:cs="宋体"/>
                <w:b/>
                <w:bCs/>
                <w:sz w:val="24"/>
                <w:szCs w:val="24"/>
              </w:rPr>
              <w:t>详细的绿化养护方案，包括具体的工作内容、标准、流程等：</w:t>
            </w:r>
          </w:p>
        </w:tc>
      </w:tr>
      <w:tr w14:paraId="76BDE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05DAEBD3">
            <w:pPr>
              <w:jc w:val="center"/>
              <w:rPr>
                <w:rFonts w:cs="Times New Roman"/>
                <w:kern w:val="0"/>
                <w:szCs w:val="20"/>
              </w:rPr>
            </w:pPr>
            <w:r>
              <w:rPr>
                <w:rFonts w:hint="eastAsia" w:cs="Times New Roman"/>
                <w:kern w:val="0"/>
                <w:szCs w:val="20"/>
              </w:rPr>
              <w:t>3.2</w:t>
            </w:r>
          </w:p>
          <w:p w14:paraId="561B5D85">
            <w:pPr>
              <w:jc w:val="center"/>
              <w:rPr>
                <w:rFonts w:cs="Times New Roman"/>
                <w:kern w:val="0"/>
                <w:szCs w:val="20"/>
              </w:rPr>
            </w:pPr>
          </w:p>
        </w:tc>
        <w:tc>
          <w:tcPr>
            <w:tcW w:w="1842" w:type="dxa"/>
            <w:vAlign w:val="center"/>
          </w:tcPr>
          <w:p w14:paraId="713FBC75">
            <w:pPr>
              <w:jc w:val="center"/>
              <w:rPr>
                <w:rFonts w:cs="Times New Roman"/>
                <w:kern w:val="0"/>
                <w:szCs w:val="20"/>
              </w:rPr>
            </w:pPr>
            <w:r>
              <w:rPr>
                <w:rFonts w:hint="eastAsia" w:cs="Times New Roman"/>
                <w:kern w:val="0"/>
                <w:szCs w:val="20"/>
              </w:rPr>
              <w:t>投标报价</w:t>
            </w:r>
          </w:p>
          <w:p w14:paraId="1B00841B">
            <w:pPr>
              <w:jc w:val="center"/>
              <w:rPr>
                <w:rFonts w:cs="Times New Roman"/>
                <w:kern w:val="0"/>
                <w:szCs w:val="20"/>
              </w:rPr>
            </w:pPr>
          </w:p>
        </w:tc>
        <w:tc>
          <w:tcPr>
            <w:tcW w:w="6379" w:type="dxa"/>
            <w:vAlign w:val="center"/>
          </w:tcPr>
          <w:p w14:paraId="14BB31E0">
            <w:pPr>
              <w:rPr>
                <w:rFonts w:cs="Times New Roman"/>
                <w:color w:val="000000"/>
                <w:szCs w:val="20"/>
              </w:rPr>
            </w:pPr>
            <w:r>
              <w:rPr>
                <w:rFonts w:hint="eastAsia" w:cs="Times New Roman"/>
                <w:szCs w:val="20"/>
              </w:rPr>
              <w:t>本招标项目将设置招标控制价，</w:t>
            </w:r>
            <w:r>
              <w:rPr>
                <w:rFonts w:hint="eastAsia" w:cs="Times New Roman"/>
                <w:color w:val="000000"/>
                <w:szCs w:val="20"/>
              </w:rPr>
              <w:t>投标人的投标报价不得超过招标控制价，否则，将被认定为废标。</w:t>
            </w:r>
          </w:p>
          <w:p w14:paraId="52E49B98">
            <w:pPr>
              <w:rPr>
                <w:rFonts w:hint="eastAsia" w:cs="Times New Roman"/>
                <w:szCs w:val="20"/>
              </w:rPr>
            </w:pPr>
            <w:r>
              <w:rPr>
                <w:rFonts w:hint="eastAsia" w:cs="Times New Roman"/>
                <w:szCs w:val="20"/>
              </w:rPr>
              <w:t>投标人的投标报价应以</w:t>
            </w:r>
            <w:r>
              <w:rPr>
                <w:rFonts w:hint="eastAsia" w:ascii="宋体" w:hAnsi="宋体" w:cs="Times New Roman"/>
                <w:b/>
                <w:snapToGrid w:val="0"/>
                <w:szCs w:val="21"/>
              </w:rPr>
              <w:t>招标范围</w:t>
            </w:r>
            <w:r>
              <w:rPr>
                <w:rFonts w:hint="eastAsia" w:cs="Times New Roman"/>
                <w:szCs w:val="20"/>
              </w:rPr>
              <w:t>为准，先到工地踏勘以充分了解工地位置、道路、储存空间、装卸限制、周边环境、土壤情况以及任何其它足以影响投标价格的情况，任何因忽视或误解招标范围、图示内容和工地情况而导致的索赔或工期延长申请将不获批准。</w:t>
            </w:r>
          </w:p>
          <w:p w14:paraId="52ABD7BA">
            <w:pPr>
              <w:rPr>
                <w:rFonts w:cs="Times New Roman"/>
                <w:szCs w:val="20"/>
              </w:rPr>
            </w:pPr>
            <w:bookmarkStart w:id="79" w:name="_Toc488397846"/>
            <w:r>
              <w:rPr>
                <w:rFonts w:hint="eastAsia" w:cs="Times New Roman"/>
                <w:szCs w:val="20"/>
              </w:rPr>
              <w:t>结算原则: 详见合同条款。</w:t>
            </w:r>
            <w:bookmarkEnd w:id="79"/>
          </w:p>
        </w:tc>
      </w:tr>
      <w:tr w14:paraId="3C775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1EE110A1">
            <w:pPr>
              <w:jc w:val="center"/>
              <w:rPr>
                <w:rFonts w:cs="Times New Roman"/>
                <w:kern w:val="0"/>
                <w:szCs w:val="20"/>
              </w:rPr>
            </w:pPr>
            <w:r>
              <w:rPr>
                <w:rFonts w:hint="eastAsia" w:cs="Times New Roman"/>
                <w:kern w:val="0"/>
                <w:szCs w:val="20"/>
              </w:rPr>
              <w:t>3.2.3</w:t>
            </w:r>
          </w:p>
        </w:tc>
        <w:tc>
          <w:tcPr>
            <w:tcW w:w="1842" w:type="dxa"/>
            <w:vAlign w:val="center"/>
          </w:tcPr>
          <w:p w14:paraId="0889686E">
            <w:pPr>
              <w:jc w:val="center"/>
              <w:rPr>
                <w:rFonts w:cs="Times New Roman"/>
                <w:color w:val="auto"/>
                <w:kern w:val="0"/>
                <w:szCs w:val="20"/>
              </w:rPr>
            </w:pPr>
            <w:r>
              <w:rPr>
                <w:rFonts w:hint="eastAsia" w:cs="Times New Roman"/>
                <w:color w:val="auto"/>
                <w:kern w:val="0"/>
                <w:szCs w:val="20"/>
              </w:rPr>
              <w:t>招标控制价</w:t>
            </w:r>
          </w:p>
        </w:tc>
        <w:tc>
          <w:tcPr>
            <w:tcW w:w="6379" w:type="dxa"/>
            <w:vAlign w:val="center"/>
          </w:tcPr>
          <w:p w14:paraId="650FD0D8">
            <w:pPr>
              <w:ind w:firstLine="964" w:firstLineChars="400"/>
              <w:rPr>
                <w:rFonts w:cs="Times New Roman"/>
                <w:b/>
                <w:bCs/>
                <w:color w:val="auto"/>
                <w:szCs w:val="20"/>
                <w:highlight w:val="red"/>
              </w:rPr>
            </w:pPr>
            <w:r>
              <w:rPr>
                <w:rFonts w:hint="eastAsia" w:cs="Times New Roman"/>
                <w:b/>
                <w:bCs/>
                <w:color w:val="auto"/>
                <w:sz w:val="24"/>
                <w:szCs w:val="24"/>
                <w:u w:val="single"/>
                <w:lang w:val="en-US" w:eastAsia="zh-CN"/>
              </w:rPr>
              <w:t>21</w:t>
            </w:r>
            <w:r>
              <w:rPr>
                <w:rFonts w:hint="eastAsia" w:cs="Times New Roman"/>
                <w:b/>
                <w:bCs/>
                <w:color w:val="auto"/>
                <w:sz w:val="24"/>
                <w:szCs w:val="24"/>
                <w:u w:val="single"/>
              </w:rPr>
              <w:t>万元</w:t>
            </w:r>
          </w:p>
        </w:tc>
      </w:tr>
      <w:tr w14:paraId="601C1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37F9979D">
            <w:pPr>
              <w:jc w:val="center"/>
              <w:rPr>
                <w:rFonts w:hint="eastAsia" w:cs="Times New Roman"/>
                <w:kern w:val="0"/>
                <w:szCs w:val="20"/>
              </w:rPr>
            </w:pPr>
            <w:r>
              <w:rPr>
                <w:rFonts w:hint="eastAsia" w:cs="Times New Roman"/>
                <w:kern w:val="0"/>
                <w:szCs w:val="20"/>
              </w:rPr>
              <w:t>3.3.1</w:t>
            </w:r>
          </w:p>
        </w:tc>
        <w:tc>
          <w:tcPr>
            <w:tcW w:w="1842" w:type="dxa"/>
            <w:vAlign w:val="center"/>
          </w:tcPr>
          <w:p w14:paraId="219644CC">
            <w:pPr>
              <w:jc w:val="center"/>
              <w:rPr>
                <w:rFonts w:hint="eastAsia" w:cs="Times New Roman"/>
                <w:kern w:val="0"/>
                <w:szCs w:val="20"/>
              </w:rPr>
            </w:pPr>
            <w:r>
              <w:rPr>
                <w:rFonts w:hint="eastAsia" w:cs="Times New Roman"/>
                <w:kern w:val="0"/>
                <w:szCs w:val="20"/>
              </w:rPr>
              <w:t>投标有效期</w:t>
            </w:r>
          </w:p>
        </w:tc>
        <w:tc>
          <w:tcPr>
            <w:tcW w:w="6379" w:type="dxa"/>
            <w:vAlign w:val="center"/>
          </w:tcPr>
          <w:p w14:paraId="4E4BE315">
            <w:pPr>
              <w:rPr>
                <w:rFonts w:hint="eastAsia" w:cs="Times New Roman"/>
                <w:color w:val="FF0000"/>
                <w:sz w:val="24"/>
                <w:szCs w:val="24"/>
                <w:u w:val="single"/>
              </w:rPr>
            </w:pPr>
            <w:r>
              <w:rPr>
                <w:rFonts w:hint="eastAsia" w:cs="Times New Roman"/>
                <w:szCs w:val="20"/>
                <w:lang w:val="en-US" w:eastAsia="zh-CN"/>
              </w:rPr>
              <w:t>90</w:t>
            </w:r>
            <w:r>
              <w:rPr>
                <w:rFonts w:hint="eastAsia" w:cs="Times New Roman"/>
                <w:szCs w:val="20"/>
              </w:rPr>
              <w:t>日历天（从提交投标文件截止日起计算）</w:t>
            </w:r>
          </w:p>
        </w:tc>
      </w:tr>
      <w:tr w14:paraId="3B5E1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4806AE7B">
            <w:pPr>
              <w:jc w:val="center"/>
              <w:rPr>
                <w:rFonts w:cs="Times New Roman"/>
                <w:kern w:val="0"/>
                <w:szCs w:val="20"/>
              </w:rPr>
            </w:pPr>
            <w:r>
              <w:rPr>
                <w:rFonts w:hint="eastAsia" w:cs="Times New Roman"/>
                <w:kern w:val="0"/>
                <w:szCs w:val="20"/>
              </w:rPr>
              <w:t>3.4.1</w:t>
            </w:r>
          </w:p>
        </w:tc>
        <w:tc>
          <w:tcPr>
            <w:tcW w:w="1842" w:type="dxa"/>
            <w:vAlign w:val="center"/>
          </w:tcPr>
          <w:p w14:paraId="4A6DA72D">
            <w:pPr>
              <w:jc w:val="center"/>
              <w:rPr>
                <w:rFonts w:cs="Times New Roman"/>
                <w:kern w:val="0"/>
                <w:szCs w:val="20"/>
              </w:rPr>
            </w:pPr>
            <w:r>
              <w:rPr>
                <w:rFonts w:hint="eastAsia" w:cs="Times New Roman"/>
                <w:kern w:val="0"/>
                <w:szCs w:val="20"/>
              </w:rPr>
              <w:t>投标保证金</w:t>
            </w:r>
          </w:p>
        </w:tc>
        <w:tc>
          <w:tcPr>
            <w:tcW w:w="6379" w:type="dxa"/>
            <w:vAlign w:val="center"/>
          </w:tcPr>
          <w:p w14:paraId="49EF0450">
            <w:pPr>
              <w:rPr>
                <w:rFonts w:cs="Times New Roman"/>
                <w:szCs w:val="20"/>
              </w:rPr>
            </w:pPr>
            <w:r>
              <w:rPr>
                <w:rFonts w:hint="eastAsia" w:cs="Times New Roman"/>
                <w:szCs w:val="20"/>
              </w:rPr>
              <w:t>无</w:t>
            </w:r>
          </w:p>
        </w:tc>
      </w:tr>
      <w:tr w14:paraId="1C9CE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1F04636F">
            <w:pPr>
              <w:jc w:val="center"/>
              <w:rPr>
                <w:rFonts w:hint="eastAsia" w:eastAsia="宋体" w:cs="Times New Roman"/>
                <w:kern w:val="0"/>
                <w:szCs w:val="20"/>
                <w:lang w:val="en-US" w:eastAsia="zh-CN"/>
              </w:rPr>
            </w:pPr>
            <w:r>
              <w:rPr>
                <w:rFonts w:hint="eastAsia" w:cs="Times New Roman"/>
                <w:kern w:val="0"/>
                <w:szCs w:val="20"/>
              </w:rPr>
              <w:t>3.</w:t>
            </w:r>
            <w:r>
              <w:rPr>
                <w:rFonts w:hint="eastAsia" w:cs="Times New Roman"/>
                <w:kern w:val="0"/>
                <w:szCs w:val="20"/>
                <w:lang w:val="en-US" w:eastAsia="zh-CN"/>
              </w:rPr>
              <w:t>5</w:t>
            </w:r>
          </w:p>
        </w:tc>
        <w:tc>
          <w:tcPr>
            <w:tcW w:w="1842" w:type="dxa"/>
            <w:vAlign w:val="center"/>
          </w:tcPr>
          <w:p w14:paraId="60FCB952">
            <w:pPr>
              <w:jc w:val="center"/>
              <w:rPr>
                <w:rFonts w:cs="Times New Roman"/>
                <w:kern w:val="0"/>
                <w:szCs w:val="20"/>
              </w:rPr>
            </w:pPr>
            <w:r>
              <w:rPr>
                <w:rFonts w:hint="eastAsia" w:cs="Times New Roman"/>
                <w:kern w:val="0"/>
                <w:szCs w:val="20"/>
              </w:rPr>
              <w:t>是否允许递交备选投标方案</w:t>
            </w:r>
          </w:p>
        </w:tc>
        <w:tc>
          <w:tcPr>
            <w:tcW w:w="6379" w:type="dxa"/>
            <w:vAlign w:val="center"/>
          </w:tcPr>
          <w:p w14:paraId="6968A591">
            <w:pPr>
              <w:rPr>
                <w:rFonts w:hint="eastAsia" w:cs="Times New Roman"/>
                <w:szCs w:val="20"/>
              </w:rPr>
            </w:pPr>
            <w:r>
              <w:rPr>
                <w:rFonts w:hint="eastAsia" w:cs="Times New Roman"/>
                <w:kern w:val="0"/>
                <w:szCs w:val="20"/>
              </w:rPr>
              <w:t>不允许</w:t>
            </w:r>
          </w:p>
        </w:tc>
      </w:tr>
      <w:tr w14:paraId="4B2FC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7B932BB9">
            <w:pPr>
              <w:jc w:val="center"/>
              <w:rPr>
                <w:rFonts w:hint="eastAsia" w:eastAsia="宋体" w:cs="Times New Roman"/>
                <w:kern w:val="0"/>
                <w:szCs w:val="20"/>
                <w:lang w:val="en-US" w:eastAsia="zh-CN"/>
              </w:rPr>
            </w:pPr>
            <w:r>
              <w:rPr>
                <w:rFonts w:hint="eastAsia" w:cs="Times New Roman"/>
                <w:kern w:val="0"/>
                <w:szCs w:val="20"/>
              </w:rPr>
              <w:t>3.</w:t>
            </w:r>
            <w:r>
              <w:rPr>
                <w:rFonts w:hint="eastAsia" w:cs="Times New Roman"/>
                <w:kern w:val="0"/>
                <w:szCs w:val="20"/>
                <w:lang w:val="en-US" w:eastAsia="zh-CN"/>
              </w:rPr>
              <w:t>6</w:t>
            </w:r>
            <w:r>
              <w:rPr>
                <w:rFonts w:hint="eastAsia" w:cs="Times New Roman"/>
                <w:kern w:val="0"/>
                <w:szCs w:val="20"/>
              </w:rPr>
              <w:t>.</w:t>
            </w:r>
            <w:r>
              <w:rPr>
                <w:rFonts w:hint="eastAsia" w:cs="Times New Roman"/>
                <w:kern w:val="0"/>
                <w:szCs w:val="20"/>
                <w:lang w:val="en-US" w:eastAsia="zh-CN"/>
              </w:rPr>
              <w:t>1</w:t>
            </w:r>
          </w:p>
        </w:tc>
        <w:tc>
          <w:tcPr>
            <w:tcW w:w="1842" w:type="dxa"/>
            <w:vAlign w:val="center"/>
          </w:tcPr>
          <w:p w14:paraId="1629E323">
            <w:pPr>
              <w:jc w:val="center"/>
              <w:rPr>
                <w:rFonts w:cs="Times New Roman"/>
                <w:kern w:val="0"/>
                <w:szCs w:val="20"/>
              </w:rPr>
            </w:pPr>
            <w:r>
              <w:rPr>
                <w:rFonts w:hint="eastAsia" w:cs="Times New Roman"/>
                <w:kern w:val="0"/>
                <w:szCs w:val="20"/>
              </w:rPr>
              <w:t>签字盖章要求</w:t>
            </w:r>
          </w:p>
        </w:tc>
        <w:tc>
          <w:tcPr>
            <w:tcW w:w="6379" w:type="dxa"/>
            <w:vAlign w:val="center"/>
          </w:tcPr>
          <w:p w14:paraId="2174E1F7">
            <w:pPr>
              <w:rPr>
                <w:rFonts w:cs="Times New Roman"/>
                <w:kern w:val="0"/>
                <w:szCs w:val="20"/>
              </w:rPr>
            </w:pPr>
            <w:r>
              <w:rPr>
                <w:rFonts w:hint="eastAsia" w:cs="Times New Roman"/>
                <w:szCs w:val="20"/>
              </w:rPr>
              <w:t>封面或扉页必须有单位公章及法定代表人签字。其它部分可由投标人的法定代表人或其委托代理人签字并盖公章。委托代理人签字的，投标文件应附法定代表人签署的授权委托书。投标文件应尽量避免涂改、行间插字或删除。如果出现上述情况，改动之处应加盖公章或由投标人的法定代表人或其授权的代理人签字确认。。</w:t>
            </w:r>
          </w:p>
        </w:tc>
      </w:tr>
      <w:tr w14:paraId="172ED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4AD32A9E">
            <w:pPr>
              <w:jc w:val="center"/>
              <w:rPr>
                <w:rFonts w:hint="eastAsia" w:eastAsia="宋体" w:cs="Times New Roman"/>
                <w:kern w:val="0"/>
                <w:szCs w:val="20"/>
                <w:lang w:val="en-US" w:eastAsia="zh-CN"/>
              </w:rPr>
            </w:pPr>
            <w:r>
              <w:rPr>
                <w:rFonts w:hint="eastAsia" w:cs="Times New Roman"/>
                <w:kern w:val="0"/>
                <w:szCs w:val="20"/>
              </w:rPr>
              <w:t>3.</w:t>
            </w:r>
            <w:r>
              <w:rPr>
                <w:rFonts w:hint="eastAsia" w:cs="Times New Roman"/>
                <w:kern w:val="0"/>
                <w:szCs w:val="20"/>
                <w:lang w:val="en-US" w:eastAsia="zh-CN"/>
              </w:rPr>
              <w:t>6</w:t>
            </w:r>
            <w:r>
              <w:rPr>
                <w:rFonts w:hint="eastAsia" w:cs="Times New Roman"/>
                <w:kern w:val="0"/>
                <w:szCs w:val="20"/>
              </w:rPr>
              <w:t>.</w:t>
            </w:r>
            <w:r>
              <w:rPr>
                <w:rFonts w:hint="eastAsia" w:cs="Times New Roman"/>
                <w:kern w:val="0"/>
                <w:szCs w:val="20"/>
                <w:lang w:val="en-US" w:eastAsia="zh-CN"/>
              </w:rPr>
              <w:t>2</w:t>
            </w:r>
          </w:p>
        </w:tc>
        <w:tc>
          <w:tcPr>
            <w:tcW w:w="1842" w:type="dxa"/>
            <w:vAlign w:val="center"/>
          </w:tcPr>
          <w:p w14:paraId="20C534E1">
            <w:pPr>
              <w:jc w:val="center"/>
              <w:rPr>
                <w:rFonts w:cs="Times New Roman"/>
                <w:kern w:val="0"/>
                <w:szCs w:val="20"/>
              </w:rPr>
            </w:pPr>
            <w:r>
              <w:rPr>
                <w:rFonts w:hint="eastAsia" w:cs="Times New Roman"/>
                <w:kern w:val="0"/>
                <w:szCs w:val="20"/>
              </w:rPr>
              <w:t>投标文件的份数</w:t>
            </w:r>
          </w:p>
        </w:tc>
        <w:tc>
          <w:tcPr>
            <w:tcW w:w="6379" w:type="dxa"/>
            <w:vAlign w:val="center"/>
          </w:tcPr>
          <w:p w14:paraId="0CFE4BB8">
            <w:pPr>
              <w:rPr>
                <w:rFonts w:hint="eastAsia" w:cs="Times New Roman"/>
                <w:szCs w:val="20"/>
              </w:rPr>
            </w:pPr>
            <w:bookmarkStart w:id="80" w:name="_Toc488397847"/>
            <w:r>
              <w:rPr>
                <w:rFonts w:hint="eastAsia" w:cs="Times New Roman"/>
                <w:szCs w:val="20"/>
              </w:rPr>
              <w:t>投标文件纸质版共计4</w:t>
            </w:r>
            <w:r>
              <w:rPr>
                <w:rFonts w:hint="eastAsia" w:cs="Times New Roman"/>
                <w:szCs w:val="20"/>
                <w:u w:val="single"/>
              </w:rPr>
              <w:t>份</w:t>
            </w:r>
            <w:r>
              <w:rPr>
                <w:rFonts w:hint="eastAsia" w:cs="Times New Roman"/>
                <w:szCs w:val="20"/>
              </w:rPr>
              <w:t>（其中正本</w:t>
            </w:r>
            <w:r>
              <w:rPr>
                <w:rFonts w:hint="eastAsia" w:cs="Times New Roman"/>
                <w:szCs w:val="20"/>
                <w:lang w:val="en-US" w:eastAsia="zh-CN"/>
              </w:rPr>
              <w:t xml:space="preserve"> 1</w:t>
            </w:r>
            <w:r>
              <w:rPr>
                <w:rFonts w:hint="eastAsia" w:cs="Times New Roman"/>
                <w:szCs w:val="20"/>
                <w:u w:val="single"/>
              </w:rPr>
              <w:t>份</w:t>
            </w:r>
            <w:r>
              <w:rPr>
                <w:rFonts w:hint="eastAsia" w:cs="Times New Roman"/>
                <w:szCs w:val="20"/>
              </w:rPr>
              <w:t>、副本</w:t>
            </w:r>
            <w:r>
              <w:rPr>
                <w:rFonts w:hint="eastAsia" w:cs="Times New Roman"/>
                <w:szCs w:val="20"/>
                <w:lang w:val="en-US" w:eastAsia="zh-CN"/>
              </w:rPr>
              <w:t xml:space="preserve"> 3</w:t>
            </w:r>
            <w:r>
              <w:rPr>
                <w:rFonts w:hint="eastAsia" w:cs="Times New Roman"/>
                <w:szCs w:val="20"/>
                <w:u w:val="single"/>
              </w:rPr>
              <w:t>份</w:t>
            </w:r>
            <w:r>
              <w:rPr>
                <w:rFonts w:hint="eastAsia" w:cs="Times New Roman"/>
                <w:szCs w:val="20"/>
              </w:rPr>
              <w:t>）；</w:t>
            </w:r>
            <w:bookmarkEnd w:id="80"/>
          </w:p>
          <w:p w14:paraId="4D660555">
            <w:pPr>
              <w:rPr>
                <w:rFonts w:cs="Times New Roman"/>
                <w:szCs w:val="20"/>
              </w:rPr>
            </w:pPr>
            <w:r>
              <w:rPr>
                <w:rFonts w:hint="eastAsia" w:cs="Times New Roman"/>
                <w:szCs w:val="20"/>
              </w:rPr>
              <w:t>如投标文件纸质版与电子版不一致，以纸质版为准。</w:t>
            </w:r>
          </w:p>
        </w:tc>
      </w:tr>
      <w:tr w14:paraId="0E0A0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3577FB48">
            <w:pPr>
              <w:jc w:val="center"/>
              <w:rPr>
                <w:rFonts w:cs="Times New Roman"/>
                <w:kern w:val="0"/>
                <w:szCs w:val="20"/>
              </w:rPr>
            </w:pPr>
            <w:r>
              <w:rPr>
                <w:rFonts w:hint="eastAsia" w:cs="Times New Roman"/>
                <w:kern w:val="0"/>
                <w:szCs w:val="20"/>
              </w:rPr>
              <w:t>4.1.2</w:t>
            </w:r>
          </w:p>
        </w:tc>
        <w:tc>
          <w:tcPr>
            <w:tcW w:w="1842" w:type="dxa"/>
            <w:vAlign w:val="center"/>
          </w:tcPr>
          <w:p w14:paraId="248AAAE4">
            <w:pPr>
              <w:jc w:val="center"/>
              <w:rPr>
                <w:rFonts w:cs="Times New Roman"/>
                <w:kern w:val="0"/>
                <w:szCs w:val="20"/>
              </w:rPr>
            </w:pPr>
            <w:r>
              <w:rPr>
                <w:rFonts w:hint="eastAsia" w:cs="Times New Roman"/>
                <w:kern w:val="0"/>
                <w:szCs w:val="20"/>
              </w:rPr>
              <w:t>封套上写明</w:t>
            </w:r>
          </w:p>
        </w:tc>
        <w:tc>
          <w:tcPr>
            <w:tcW w:w="6379" w:type="dxa"/>
            <w:vAlign w:val="center"/>
          </w:tcPr>
          <w:p w14:paraId="2B9A65B8">
            <w:pPr>
              <w:ind w:left="210" w:hanging="210" w:hangingChars="100"/>
              <w:rPr>
                <w:rFonts w:cs="Times New Roman"/>
                <w:szCs w:val="20"/>
              </w:rPr>
            </w:pPr>
            <w:r>
              <w:rPr>
                <w:rFonts w:hint="eastAsia" w:cs="Times New Roman"/>
                <w:color w:val="000000"/>
                <w:kern w:val="0"/>
                <w:szCs w:val="20"/>
              </w:rPr>
              <w:t xml:space="preserve"> “</w:t>
            </w:r>
            <w:r>
              <w:rPr>
                <w:rFonts w:hint="eastAsia" w:cs="Times New Roman"/>
                <w:color w:val="000000"/>
                <w:kern w:val="0"/>
                <w:szCs w:val="20"/>
                <w:lang w:eastAsia="zh-CN"/>
              </w:rPr>
              <w:t>襄阳市第三中学校园</w:t>
            </w:r>
            <w:r>
              <w:rPr>
                <w:rFonts w:hint="eastAsia" w:ascii="宋体" w:hAnsi="宋体" w:cs="Times New Roman"/>
                <w:bCs/>
                <w:szCs w:val="21"/>
              </w:rPr>
              <w:t>绿化养护工程</w:t>
            </w:r>
            <w:r>
              <w:rPr>
                <w:rFonts w:hint="eastAsia" w:cs="Times New Roman"/>
                <w:color w:val="000000"/>
                <w:kern w:val="0"/>
                <w:szCs w:val="20"/>
              </w:rPr>
              <w:t>”及“投标文件</w:t>
            </w:r>
            <w:r>
              <w:rPr>
                <w:rFonts w:hint="eastAsia" w:cs="Times New Roman"/>
                <w:color w:val="000000"/>
                <w:kern w:val="0"/>
                <w:szCs w:val="20"/>
                <w:u w:val="single"/>
              </w:rPr>
              <w:t>2024</w:t>
            </w:r>
            <w:r>
              <w:rPr>
                <w:rFonts w:hint="eastAsia" w:cs="Times New Roman"/>
                <w:color w:val="000000"/>
                <w:kern w:val="0"/>
                <w:szCs w:val="20"/>
              </w:rPr>
              <w:t>年</w:t>
            </w:r>
            <w:r>
              <w:rPr>
                <w:rFonts w:hint="eastAsia" w:cs="Times New Roman"/>
                <w:color w:val="000000"/>
                <w:kern w:val="0"/>
                <w:szCs w:val="20"/>
                <w:u w:val="single"/>
              </w:rPr>
              <w:t xml:space="preserve"> </w:t>
            </w:r>
            <w:r>
              <w:rPr>
                <w:rFonts w:hint="eastAsia" w:cs="Times New Roman"/>
                <w:color w:val="000000"/>
                <w:kern w:val="0"/>
                <w:szCs w:val="20"/>
                <w:u w:val="single"/>
                <w:lang w:val="en-US" w:eastAsia="zh-CN"/>
              </w:rPr>
              <w:t xml:space="preserve">10 </w:t>
            </w:r>
            <w:r>
              <w:rPr>
                <w:rFonts w:hint="eastAsia" w:cs="Times New Roman"/>
                <w:color w:val="000000"/>
                <w:kern w:val="0"/>
                <w:szCs w:val="20"/>
              </w:rPr>
              <w:t>月</w:t>
            </w:r>
            <w:r>
              <w:rPr>
                <w:rFonts w:hint="eastAsia" w:cs="Times New Roman"/>
                <w:color w:val="000000"/>
                <w:kern w:val="0"/>
                <w:szCs w:val="20"/>
                <w:u w:val="single"/>
              </w:rPr>
              <w:t xml:space="preserve"> </w:t>
            </w:r>
            <w:r>
              <w:rPr>
                <w:rFonts w:hint="eastAsia" w:cs="Times New Roman"/>
                <w:color w:val="000000"/>
                <w:kern w:val="0"/>
                <w:szCs w:val="20"/>
                <w:u w:val="single"/>
                <w:lang w:val="en-US" w:eastAsia="zh-CN"/>
              </w:rPr>
              <w:t>10</w:t>
            </w:r>
            <w:r>
              <w:rPr>
                <w:rFonts w:hint="eastAsia" w:cs="Times New Roman"/>
                <w:color w:val="000000"/>
                <w:kern w:val="0"/>
                <w:szCs w:val="20"/>
              </w:rPr>
              <w:t>日</w:t>
            </w:r>
            <w:r>
              <w:rPr>
                <w:rFonts w:hint="eastAsia" w:cs="Times New Roman"/>
                <w:color w:val="000000"/>
                <w:kern w:val="0"/>
                <w:szCs w:val="20"/>
                <w:lang w:val="en-US" w:eastAsia="zh-CN"/>
              </w:rPr>
              <w:t xml:space="preserve"> 9 </w:t>
            </w:r>
            <w:r>
              <w:rPr>
                <w:rFonts w:hint="eastAsia" w:cs="Times New Roman"/>
                <w:color w:val="000000"/>
                <w:kern w:val="0"/>
                <w:szCs w:val="20"/>
              </w:rPr>
              <w:t>时</w:t>
            </w:r>
            <w:r>
              <w:rPr>
                <w:rFonts w:hint="eastAsia" w:cs="Times New Roman"/>
                <w:color w:val="000000"/>
                <w:kern w:val="0"/>
                <w:szCs w:val="20"/>
                <w:lang w:val="en-US" w:eastAsia="zh-CN"/>
              </w:rPr>
              <w:t xml:space="preserve"> 00</w:t>
            </w:r>
            <w:bookmarkStart w:id="86" w:name="_GoBack"/>
            <w:bookmarkEnd w:id="86"/>
            <w:r>
              <w:rPr>
                <w:rFonts w:hint="eastAsia" w:cs="Times New Roman"/>
                <w:color w:val="000000"/>
                <w:kern w:val="0"/>
                <w:szCs w:val="20"/>
              </w:rPr>
              <w:t>分前不得开启”</w:t>
            </w:r>
          </w:p>
        </w:tc>
      </w:tr>
      <w:tr w14:paraId="609C4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5155DB03">
            <w:pPr>
              <w:jc w:val="center"/>
              <w:rPr>
                <w:rFonts w:cs="Times New Roman"/>
                <w:kern w:val="0"/>
                <w:szCs w:val="20"/>
              </w:rPr>
            </w:pPr>
            <w:r>
              <w:rPr>
                <w:rFonts w:hint="eastAsia" w:cs="Times New Roman"/>
                <w:kern w:val="0"/>
                <w:szCs w:val="20"/>
              </w:rPr>
              <w:t>4.2.2</w:t>
            </w:r>
          </w:p>
        </w:tc>
        <w:tc>
          <w:tcPr>
            <w:tcW w:w="1842" w:type="dxa"/>
            <w:vAlign w:val="center"/>
          </w:tcPr>
          <w:p w14:paraId="1BF35172">
            <w:pPr>
              <w:jc w:val="center"/>
              <w:rPr>
                <w:rFonts w:cs="Times New Roman"/>
                <w:kern w:val="0"/>
                <w:szCs w:val="20"/>
              </w:rPr>
            </w:pPr>
            <w:r>
              <w:rPr>
                <w:rFonts w:hint="eastAsia" w:cs="Times New Roman"/>
                <w:kern w:val="0"/>
                <w:szCs w:val="20"/>
              </w:rPr>
              <w:t>是否退还投标文件</w:t>
            </w:r>
          </w:p>
        </w:tc>
        <w:tc>
          <w:tcPr>
            <w:tcW w:w="6379" w:type="dxa"/>
            <w:vAlign w:val="center"/>
          </w:tcPr>
          <w:p w14:paraId="0E965F00">
            <w:pPr>
              <w:rPr>
                <w:rFonts w:cs="Times New Roman"/>
                <w:color w:val="000000"/>
                <w:szCs w:val="20"/>
              </w:rPr>
            </w:pPr>
            <w:r>
              <w:rPr>
                <w:rFonts w:hint="eastAsia" w:cs="Times New Roman"/>
                <w:kern w:val="0"/>
                <w:szCs w:val="20"/>
              </w:rPr>
              <w:t>否</w:t>
            </w:r>
          </w:p>
        </w:tc>
      </w:tr>
      <w:tr w14:paraId="7773F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56D5A3A3">
            <w:pPr>
              <w:jc w:val="center"/>
              <w:rPr>
                <w:rFonts w:hint="eastAsia" w:cs="Times New Roman"/>
                <w:kern w:val="0"/>
                <w:szCs w:val="20"/>
              </w:rPr>
            </w:pPr>
            <w:r>
              <w:rPr>
                <w:rFonts w:hint="eastAsia" w:cs="Times New Roman"/>
                <w:kern w:val="0"/>
                <w:szCs w:val="20"/>
              </w:rPr>
              <w:t>5.1</w:t>
            </w:r>
          </w:p>
        </w:tc>
        <w:tc>
          <w:tcPr>
            <w:tcW w:w="1842" w:type="dxa"/>
            <w:vAlign w:val="center"/>
          </w:tcPr>
          <w:p w14:paraId="44134F2C">
            <w:pPr>
              <w:jc w:val="center"/>
              <w:rPr>
                <w:rFonts w:cs="Times New Roman"/>
                <w:kern w:val="0"/>
                <w:szCs w:val="20"/>
              </w:rPr>
            </w:pPr>
            <w:r>
              <w:rPr>
                <w:rFonts w:hint="eastAsia" w:cs="Times New Roman"/>
                <w:kern w:val="0"/>
                <w:szCs w:val="20"/>
              </w:rPr>
              <w:t>开标时间和地点</w:t>
            </w:r>
          </w:p>
        </w:tc>
        <w:tc>
          <w:tcPr>
            <w:tcW w:w="6379" w:type="dxa"/>
            <w:vAlign w:val="center"/>
          </w:tcPr>
          <w:p w14:paraId="334DE6B8">
            <w:pPr>
              <w:rPr>
                <w:rFonts w:cs="Times New Roman"/>
                <w:kern w:val="0"/>
                <w:szCs w:val="20"/>
              </w:rPr>
            </w:pPr>
            <w:r>
              <w:rPr>
                <w:rFonts w:hint="eastAsia" w:cs="Times New Roman"/>
                <w:kern w:val="0"/>
                <w:szCs w:val="20"/>
              </w:rPr>
              <w:t>开标时间：同投标截止时间</w:t>
            </w:r>
          </w:p>
          <w:p w14:paraId="055AA10B">
            <w:pPr>
              <w:rPr>
                <w:rFonts w:ascii="宋体" w:hAnsi="宋体" w:cs="宋体"/>
                <w:szCs w:val="21"/>
              </w:rPr>
            </w:pPr>
            <w:r>
              <w:rPr>
                <w:rFonts w:hint="eastAsia" w:cs="Times New Roman"/>
                <w:kern w:val="0"/>
                <w:szCs w:val="20"/>
              </w:rPr>
              <w:t>开标地点：递交投标文件地点</w:t>
            </w:r>
          </w:p>
        </w:tc>
      </w:tr>
      <w:tr w14:paraId="532C7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1668970A">
            <w:pPr>
              <w:jc w:val="center"/>
              <w:rPr>
                <w:rFonts w:cs="Times New Roman"/>
                <w:kern w:val="0"/>
                <w:szCs w:val="20"/>
              </w:rPr>
            </w:pPr>
            <w:r>
              <w:rPr>
                <w:rFonts w:hint="eastAsia" w:cs="Times New Roman"/>
                <w:kern w:val="0"/>
                <w:szCs w:val="20"/>
              </w:rPr>
              <w:t>5.2</w:t>
            </w:r>
          </w:p>
        </w:tc>
        <w:tc>
          <w:tcPr>
            <w:tcW w:w="1842" w:type="dxa"/>
            <w:vAlign w:val="center"/>
          </w:tcPr>
          <w:p w14:paraId="054B187B">
            <w:pPr>
              <w:jc w:val="center"/>
              <w:rPr>
                <w:rFonts w:cs="Times New Roman"/>
                <w:kern w:val="0"/>
                <w:szCs w:val="20"/>
              </w:rPr>
            </w:pPr>
            <w:r>
              <w:rPr>
                <w:rFonts w:hint="eastAsia" w:cs="Times New Roman"/>
                <w:kern w:val="0"/>
                <w:szCs w:val="20"/>
              </w:rPr>
              <w:t>开标程序</w:t>
            </w:r>
          </w:p>
        </w:tc>
        <w:tc>
          <w:tcPr>
            <w:tcW w:w="6379" w:type="dxa"/>
            <w:vAlign w:val="center"/>
          </w:tcPr>
          <w:p w14:paraId="118F5EE9">
            <w:pPr>
              <w:rPr>
                <w:rFonts w:cs="Times New Roman"/>
                <w:szCs w:val="20"/>
              </w:rPr>
            </w:pPr>
            <w:r>
              <w:rPr>
                <w:rFonts w:hint="eastAsia" w:cs="Times New Roman"/>
                <w:szCs w:val="20"/>
              </w:rPr>
              <w:t>（1）宣布开标会纪律</w:t>
            </w:r>
          </w:p>
          <w:p w14:paraId="1ED13052">
            <w:pPr>
              <w:rPr>
                <w:rFonts w:cs="Times New Roman"/>
                <w:szCs w:val="20"/>
              </w:rPr>
            </w:pPr>
            <w:r>
              <w:rPr>
                <w:rFonts w:hint="eastAsia" w:cs="Times New Roman"/>
                <w:szCs w:val="20"/>
              </w:rPr>
              <w:t>（2）公布在投标截止时间前递交投标文件的投标人名称</w:t>
            </w:r>
          </w:p>
          <w:p w14:paraId="4A78A275">
            <w:pPr>
              <w:rPr>
                <w:rFonts w:cs="Times New Roman"/>
                <w:color w:val="auto"/>
                <w:szCs w:val="20"/>
              </w:rPr>
            </w:pPr>
            <w:r>
              <w:rPr>
                <w:rFonts w:hint="eastAsia" w:cs="Times New Roman"/>
                <w:szCs w:val="20"/>
              </w:rPr>
              <w:t>（</w:t>
            </w:r>
            <w:r>
              <w:rPr>
                <w:rFonts w:hint="eastAsia" w:cs="Times New Roman"/>
                <w:color w:val="auto"/>
                <w:szCs w:val="20"/>
              </w:rPr>
              <w:t>3）宣布开标人、唱标人、记录人、监标人等有关人员</w:t>
            </w:r>
          </w:p>
          <w:p w14:paraId="6F8ADF4C">
            <w:pPr>
              <w:rPr>
                <w:rFonts w:cs="Times New Roman"/>
                <w:szCs w:val="20"/>
              </w:rPr>
            </w:pPr>
            <w:r>
              <w:rPr>
                <w:rFonts w:hint="eastAsia" w:cs="Times New Roman"/>
                <w:szCs w:val="20"/>
              </w:rPr>
              <w:t>（4）密封情况检查</w:t>
            </w:r>
          </w:p>
          <w:p w14:paraId="7F28BB17">
            <w:pPr>
              <w:rPr>
                <w:rFonts w:cs="Times New Roman"/>
                <w:szCs w:val="20"/>
              </w:rPr>
            </w:pPr>
            <w:r>
              <w:rPr>
                <w:rFonts w:hint="eastAsia" w:cs="Times New Roman"/>
                <w:szCs w:val="20"/>
              </w:rPr>
              <w:t>（5）开启技术标投标文件</w:t>
            </w:r>
          </w:p>
          <w:p w14:paraId="5345DA40">
            <w:pPr>
              <w:rPr>
                <w:rFonts w:cs="Times New Roman"/>
                <w:szCs w:val="20"/>
              </w:rPr>
            </w:pPr>
            <w:r>
              <w:rPr>
                <w:rFonts w:hint="eastAsia" w:cs="Times New Roman"/>
                <w:szCs w:val="20"/>
              </w:rPr>
              <w:t>（6）开启商务标投标文件</w:t>
            </w:r>
          </w:p>
          <w:p w14:paraId="2DD09736">
            <w:pPr>
              <w:rPr>
                <w:rFonts w:cs="Times New Roman"/>
                <w:szCs w:val="20"/>
              </w:rPr>
            </w:pPr>
            <w:r>
              <w:rPr>
                <w:rFonts w:hint="eastAsia" w:cs="Times New Roman"/>
                <w:szCs w:val="20"/>
              </w:rPr>
              <w:t>（7）有关人员在开标记录上签字确认</w:t>
            </w:r>
          </w:p>
          <w:p w14:paraId="11D104E4">
            <w:pPr>
              <w:rPr>
                <w:rFonts w:cs="Times New Roman"/>
                <w:kern w:val="0"/>
                <w:szCs w:val="20"/>
              </w:rPr>
            </w:pPr>
            <w:r>
              <w:rPr>
                <w:rFonts w:hint="eastAsia" w:cs="Times New Roman"/>
                <w:szCs w:val="20"/>
              </w:rPr>
              <w:t>（8）开标结束</w:t>
            </w:r>
          </w:p>
        </w:tc>
      </w:tr>
      <w:tr w14:paraId="6217E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36A01871">
            <w:pPr>
              <w:jc w:val="center"/>
              <w:rPr>
                <w:rFonts w:cs="Times New Roman"/>
                <w:kern w:val="0"/>
                <w:szCs w:val="20"/>
              </w:rPr>
            </w:pPr>
            <w:r>
              <w:rPr>
                <w:rFonts w:hint="eastAsia" w:cs="Times New Roman"/>
                <w:kern w:val="0"/>
                <w:szCs w:val="20"/>
              </w:rPr>
              <w:t>6.1.1</w:t>
            </w:r>
          </w:p>
        </w:tc>
        <w:tc>
          <w:tcPr>
            <w:tcW w:w="1842" w:type="dxa"/>
            <w:vAlign w:val="center"/>
          </w:tcPr>
          <w:p w14:paraId="49149E93">
            <w:pPr>
              <w:jc w:val="center"/>
              <w:rPr>
                <w:rFonts w:cs="Times New Roman"/>
                <w:kern w:val="0"/>
                <w:szCs w:val="20"/>
              </w:rPr>
            </w:pPr>
            <w:r>
              <w:rPr>
                <w:rFonts w:hint="eastAsia" w:cs="Times New Roman"/>
                <w:kern w:val="0"/>
                <w:szCs w:val="20"/>
              </w:rPr>
              <w:t>评标委员会组建</w:t>
            </w:r>
          </w:p>
        </w:tc>
        <w:tc>
          <w:tcPr>
            <w:tcW w:w="6379" w:type="dxa"/>
            <w:vAlign w:val="center"/>
          </w:tcPr>
          <w:p w14:paraId="0D6AD860">
            <w:pPr>
              <w:rPr>
                <w:rFonts w:cs="Times New Roman"/>
                <w:kern w:val="0"/>
                <w:szCs w:val="20"/>
                <w:u w:val="single"/>
              </w:rPr>
            </w:pPr>
          </w:p>
        </w:tc>
      </w:tr>
    </w:tbl>
    <w:p w14:paraId="15428AAC">
      <w:pPr>
        <w:spacing w:before="240" w:after="60" w:line="360" w:lineRule="auto"/>
        <w:jc w:val="center"/>
        <w:outlineLvl w:val="0"/>
        <w:rPr>
          <w:rFonts w:hint="eastAsia" w:ascii="Cambria" w:hAnsi="Cambria" w:cs="Times New Roman"/>
          <w:b/>
          <w:bCs/>
          <w:kern w:val="0"/>
          <w:sz w:val="44"/>
          <w:szCs w:val="44"/>
        </w:rPr>
      </w:pPr>
      <w:bookmarkStart w:id="81" w:name="_Toc488397900"/>
      <w:bookmarkStart w:id="82" w:name="_Toc331519089"/>
      <w:bookmarkStart w:id="83" w:name="_Toc504984655"/>
    </w:p>
    <w:p w14:paraId="7F93B2D2">
      <w:pPr>
        <w:spacing w:before="240" w:after="60" w:line="360" w:lineRule="auto"/>
        <w:jc w:val="center"/>
        <w:outlineLvl w:val="0"/>
        <w:rPr>
          <w:rFonts w:hint="eastAsia" w:ascii="Cambria" w:hAnsi="Cambria" w:cs="Times New Roman"/>
          <w:b/>
          <w:bCs/>
          <w:kern w:val="0"/>
          <w:sz w:val="44"/>
          <w:szCs w:val="44"/>
        </w:rPr>
      </w:pPr>
    </w:p>
    <w:p w14:paraId="5678108E">
      <w:pPr>
        <w:spacing w:before="240" w:after="60" w:line="360" w:lineRule="auto"/>
        <w:jc w:val="center"/>
        <w:outlineLvl w:val="0"/>
        <w:rPr>
          <w:rFonts w:hint="eastAsia" w:ascii="Cambria" w:hAnsi="Cambria" w:cs="Times New Roman"/>
          <w:b/>
          <w:bCs/>
          <w:kern w:val="0"/>
          <w:sz w:val="44"/>
          <w:szCs w:val="44"/>
        </w:rPr>
      </w:pPr>
    </w:p>
    <w:p w14:paraId="06F04FBC">
      <w:pPr>
        <w:spacing w:before="240" w:after="60" w:line="360" w:lineRule="auto"/>
        <w:jc w:val="center"/>
        <w:outlineLvl w:val="0"/>
        <w:rPr>
          <w:rFonts w:hint="eastAsia" w:ascii="Cambria" w:hAnsi="Cambria" w:cs="Times New Roman"/>
          <w:b/>
          <w:bCs/>
          <w:kern w:val="0"/>
          <w:sz w:val="44"/>
          <w:szCs w:val="44"/>
        </w:rPr>
      </w:pPr>
    </w:p>
    <w:p w14:paraId="430A1D09">
      <w:pPr>
        <w:spacing w:before="240" w:after="60" w:line="360" w:lineRule="auto"/>
        <w:jc w:val="center"/>
        <w:outlineLvl w:val="0"/>
        <w:rPr>
          <w:rFonts w:hint="eastAsia" w:ascii="Cambria" w:hAnsi="Cambria" w:cs="Times New Roman"/>
          <w:b/>
          <w:bCs/>
          <w:kern w:val="0"/>
          <w:sz w:val="44"/>
          <w:szCs w:val="44"/>
        </w:rPr>
      </w:pPr>
    </w:p>
    <w:p w14:paraId="0CA44072">
      <w:pPr>
        <w:spacing w:before="240" w:after="60" w:line="360" w:lineRule="auto"/>
        <w:jc w:val="both"/>
        <w:outlineLvl w:val="0"/>
        <w:rPr>
          <w:rFonts w:hint="eastAsia" w:ascii="Cambria" w:hAnsi="Cambria" w:cs="Times New Roman"/>
          <w:b/>
          <w:bCs/>
          <w:kern w:val="0"/>
          <w:sz w:val="44"/>
          <w:szCs w:val="44"/>
        </w:rPr>
      </w:pPr>
    </w:p>
    <w:p w14:paraId="415FAEBF">
      <w:pPr>
        <w:spacing w:before="240" w:after="60" w:line="360" w:lineRule="auto"/>
        <w:jc w:val="center"/>
        <w:outlineLvl w:val="0"/>
        <w:rPr>
          <w:rFonts w:ascii="Cambria" w:hAnsi="Cambria" w:cs="Times New Roman"/>
          <w:b/>
          <w:bCs/>
          <w:kern w:val="0"/>
          <w:sz w:val="44"/>
          <w:szCs w:val="44"/>
        </w:rPr>
      </w:pPr>
      <w:r>
        <w:rPr>
          <w:rFonts w:hint="eastAsia" w:ascii="Cambria" w:hAnsi="Cambria" w:cs="Times New Roman"/>
          <w:b/>
          <w:bCs/>
          <w:kern w:val="0"/>
          <w:sz w:val="44"/>
          <w:szCs w:val="44"/>
        </w:rPr>
        <w:t>第三章   评标办法（综合评估法）</w:t>
      </w:r>
      <w:bookmarkEnd w:id="81"/>
      <w:bookmarkEnd w:id="82"/>
      <w:bookmarkEnd w:id="83"/>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579"/>
        <w:gridCol w:w="4934"/>
        <w:gridCol w:w="867"/>
      </w:tblGrid>
      <w:tr w14:paraId="39B42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384" w:type="dxa"/>
            <w:noWrap w:val="0"/>
            <w:vAlign w:val="center"/>
          </w:tcPr>
          <w:p w14:paraId="6973612C">
            <w:pPr>
              <w:jc w:val="center"/>
              <w:rPr>
                <w:rFonts w:ascii="宋体" w:hAnsi="宋体"/>
                <w:color w:val="auto"/>
                <w:sz w:val="24"/>
                <w:szCs w:val="24"/>
                <w:highlight w:val="none"/>
              </w:rPr>
            </w:pPr>
            <w:r>
              <w:rPr>
                <w:rFonts w:hint="eastAsia" w:ascii="宋体" w:hAnsi="宋体"/>
                <w:color w:val="auto"/>
                <w:sz w:val="24"/>
                <w:szCs w:val="24"/>
                <w:highlight w:val="none"/>
              </w:rPr>
              <w:t>评标项目</w:t>
            </w:r>
          </w:p>
        </w:tc>
        <w:tc>
          <w:tcPr>
            <w:tcW w:w="2579" w:type="dxa"/>
            <w:noWrap w:val="0"/>
            <w:vAlign w:val="center"/>
          </w:tcPr>
          <w:p w14:paraId="69D192A5">
            <w:pPr>
              <w:jc w:val="center"/>
              <w:rPr>
                <w:rFonts w:hint="eastAsia" w:ascii="宋体" w:hAnsi="宋体"/>
                <w:color w:val="auto"/>
                <w:sz w:val="24"/>
                <w:szCs w:val="24"/>
                <w:highlight w:val="none"/>
              </w:rPr>
            </w:pPr>
            <w:r>
              <w:rPr>
                <w:rFonts w:hint="eastAsia" w:ascii="宋体" w:hAnsi="宋体"/>
                <w:color w:val="auto"/>
                <w:sz w:val="24"/>
                <w:szCs w:val="24"/>
                <w:highlight w:val="none"/>
              </w:rPr>
              <w:t>评分分项</w:t>
            </w:r>
          </w:p>
        </w:tc>
        <w:tc>
          <w:tcPr>
            <w:tcW w:w="4934" w:type="dxa"/>
            <w:noWrap w:val="0"/>
            <w:vAlign w:val="center"/>
          </w:tcPr>
          <w:p w14:paraId="45887193">
            <w:pPr>
              <w:jc w:val="center"/>
              <w:rPr>
                <w:rFonts w:ascii="宋体" w:hAnsi="宋体"/>
                <w:color w:val="auto"/>
                <w:sz w:val="24"/>
                <w:szCs w:val="24"/>
                <w:highlight w:val="none"/>
              </w:rPr>
            </w:pPr>
            <w:r>
              <w:rPr>
                <w:rFonts w:hint="eastAsia" w:ascii="宋体" w:hAnsi="宋体"/>
                <w:color w:val="auto"/>
                <w:sz w:val="24"/>
                <w:szCs w:val="24"/>
                <w:highlight w:val="none"/>
              </w:rPr>
              <w:t>评标分项及分值</w:t>
            </w:r>
          </w:p>
        </w:tc>
        <w:tc>
          <w:tcPr>
            <w:tcW w:w="867" w:type="dxa"/>
            <w:noWrap w:val="0"/>
            <w:vAlign w:val="center"/>
          </w:tcPr>
          <w:p w14:paraId="48E82CAE">
            <w:pPr>
              <w:jc w:val="center"/>
              <w:rPr>
                <w:rFonts w:ascii="宋体" w:hAnsi="宋体"/>
                <w:color w:val="auto"/>
                <w:sz w:val="24"/>
                <w:szCs w:val="24"/>
                <w:highlight w:val="none"/>
              </w:rPr>
            </w:pPr>
            <w:r>
              <w:rPr>
                <w:rFonts w:hint="eastAsia" w:ascii="宋体" w:hAnsi="宋体"/>
                <w:color w:val="auto"/>
                <w:sz w:val="24"/>
                <w:szCs w:val="24"/>
                <w:highlight w:val="none"/>
              </w:rPr>
              <w:t>分值</w:t>
            </w:r>
          </w:p>
        </w:tc>
      </w:tr>
      <w:tr w14:paraId="6C714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6" w:hRule="atLeast"/>
          <w:jc w:val="center"/>
        </w:trPr>
        <w:tc>
          <w:tcPr>
            <w:tcW w:w="1384" w:type="dxa"/>
            <w:vMerge w:val="restart"/>
            <w:noWrap w:val="0"/>
            <w:vAlign w:val="center"/>
          </w:tcPr>
          <w:p w14:paraId="6EAFC534">
            <w:pPr>
              <w:spacing w:line="0" w:lineRule="atLeast"/>
              <w:jc w:val="center"/>
              <w:rPr>
                <w:rFonts w:ascii="宋体" w:hAnsi="宋体"/>
                <w:color w:val="auto"/>
                <w:sz w:val="24"/>
                <w:szCs w:val="24"/>
                <w:highlight w:val="none"/>
              </w:rPr>
            </w:pPr>
            <w:r>
              <w:rPr>
                <w:rFonts w:hint="eastAsia" w:ascii="宋体" w:hAnsi="宋体"/>
                <w:color w:val="auto"/>
                <w:sz w:val="24"/>
                <w:szCs w:val="24"/>
                <w:highlight w:val="none"/>
                <w:lang w:eastAsia="zh-CN"/>
              </w:rPr>
              <w:t>综合</w:t>
            </w:r>
            <w:r>
              <w:rPr>
                <w:rFonts w:ascii="宋体" w:hAnsi="宋体"/>
                <w:color w:val="auto"/>
                <w:sz w:val="24"/>
                <w:szCs w:val="24"/>
                <w:highlight w:val="none"/>
              </w:rPr>
              <w:t>部分</w:t>
            </w:r>
          </w:p>
          <w:p w14:paraId="7193465E">
            <w:pPr>
              <w:spacing w:line="0" w:lineRule="atLeast"/>
              <w:jc w:val="center"/>
              <w:rPr>
                <w:rFonts w:ascii="宋体" w:hAnsi="宋体"/>
                <w:color w:val="auto"/>
                <w:sz w:val="24"/>
                <w:szCs w:val="24"/>
                <w:highlight w:val="none"/>
              </w:rPr>
            </w:pPr>
            <w:r>
              <w:rPr>
                <w:rFonts w:ascii="宋体" w:hAnsi="宋体"/>
                <w:color w:val="auto"/>
                <w:sz w:val="24"/>
                <w:szCs w:val="24"/>
                <w:highlight w:val="none"/>
              </w:rPr>
              <w:t>（</w:t>
            </w:r>
            <w:r>
              <w:rPr>
                <w:rFonts w:hint="eastAsia" w:ascii="宋体" w:hAnsi="宋体"/>
                <w:color w:val="auto"/>
                <w:sz w:val="24"/>
                <w:szCs w:val="24"/>
                <w:highlight w:val="none"/>
                <w:lang w:val="en-US" w:eastAsia="zh-CN"/>
              </w:rPr>
              <w:t>30</w:t>
            </w:r>
            <w:r>
              <w:rPr>
                <w:rFonts w:ascii="宋体" w:hAnsi="宋体"/>
                <w:color w:val="auto"/>
                <w:sz w:val="24"/>
                <w:szCs w:val="24"/>
                <w:highlight w:val="none"/>
              </w:rPr>
              <w:t>分）</w:t>
            </w:r>
          </w:p>
        </w:tc>
        <w:tc>
          <w:tcPr>
            <w:tcW w:w="2579" w:type="dxa"/>
            <w:noWrap w:val="0"/>
            <w:vAlign w:val="center"/>
          </w:tcPr>
          <w:p w14:paraId="2CA8E48B">
            <w:pPr>
              <w:spacing w:line="0" w:lineRule="atLeast"/>
              <w:jc w:val="center"/>
              <w:rPr>
                <w:rFonts w:hint="eastAsia" w:ascii="宋体" w:hAnsi="宋体" w:eastAsia="宋体"/>
                <w:color w:val="auto"/>
                <w:sz w:val="24"/>
                <w:szCs w:val="24"/>
                <w:highlight w:val="none"/>
                <w:lang w:eastAsia="zh-CN"/>
              </w:rPr>
            </w:pPr>
            <w:r>
              <w:rPr>
                <w:rFonts w:hint="eastAsia" w:ascii="宋体" w:hAnsi="宋体" w:eastAsia="宋体"/>
                <w:color w:val="auto"/>
                <w:sz w:val="24"/>
                <w:szCs w:val="24"/>
                <w:highlight w:val="none"/>
                <w:lang w:eastAsia="zh-CN"/>
              </w:rPr>
              <w:t>企业业绩</w:t>
            </w:r>
          </w:p>
        </w:tc>
        <w:tc>
          <w:tcPr>
            <w:tcW w:w="4934" w:type="dxa"/>
            <w:noWrap w:val="0"/>
            <w:vAlign w:val="center"/>
          </w:tcPr>
          <w:p w14:paraId="5AFCEC48">
            <w:pPr>
              <w:spacing w:line="0" w:lineRule="atLeast"/>
              <w:ind w:left="100"/>
              <w:jc w:val="left"/>
              <w:rPr>
                <w:rFonts w:hint="default" w:ascii="宋体" w:hAnsi="宋体" w:eastAsia="宋体"/>
                <w:color w:val="auto"/>
                <w:sz w:val="24"/>
                <w:szCs w:val="24"/>
                <w:highlight w:val="none"/>
                <w:lang w:val="en-US" w:eastAsia="zh-CN"/>
              </w:rPr>
            </w:pPr>
            <w:r>
              <w:rPr>
                <w:rFonts w:hint="default" w:ascii="宋体" w:hAnsi="宋体" w:eastAsia="宋体"/>
                <w:color w:val="auto"/>
                <w:sz w:val="24"/>
                <w:szCs w:val="24"/>
                <w:highlight w:val="none"/>
                <w:lang w:val="en-US" w:eastAsia="zh-CN"/>
              </w:rPr>
              <w:t>供应商近3年（以合同签订时间为准）承接过一项企事业</w:t>
            </w:r>
            <w:r>
              <w:rPr>
                <w:rFonts w:hint="eastAsia" w:ascii="宋体" w:hAnsi="宋体" w:eastAsia="宋体"/>
                <w:color w:val="auto"/>
                <w:sz w:val="24"/>
                <w:szCs w:val="24"/>
                <w:highlight w:val="none"/>
                <w:lang w:val="en-US" w:eastAsia="zh-CN"/>
              </w:rPr>
              <w:t>相关</w:t>
            </w:r>
            <w:r>
              <w:rPr>
                <w:rFonts w:hint="default" w:ascii="宋体" w:hAnsi="宋体" w:eastAsia="宋体"/>
                <w:color w:val="auto"/>
                <w:sz w:val="24"/>
                <w:szCs w:val="24"/>
                <w:highlight w:val="none"/>
                <w:lang w:val="en-US" w:eastAsia="zh-CN"/>
              </w:rPr>
              <w:t>业绩的得</w:t>
            </w:r>
            <w:r>
              <w:rPr>
                <w:rFonts w:hint="eastAsia" w:ascii="宋体" w:hAnsi="宋体" w:eastAsia="宋体"/>
                <w:color w:val="auto"/>
                <w:sz w:val="24"/>
                <w:szCs w:val="24"/>
                <w:highlight w:val="none"/>
                <w:lang w:val="en-US" w:eastAsia="zh-CN"/>
              </w:rPr>
              <w:t>3</w:t>
            </w:r>
            <w:r>
              <w:rPr>
                <w:rFonts w:hint="default" w:ascii="宋体" w:hAnsi="宋体" w:eastAsia="宋体"/>
                <w:color w:val="auto"/>
                <w:sz w:val="24"/>
                <w:szCs w:val="24"/>
                <w:highlight w:val="none"/>
                <w:lang w:val="en-US" w:eastAsia="zh-CN"/>
              </w:rPr>
              <w:t>分，最高可得</w:t>
            </w:r>
            <w:r>
              <w:rPr>
                <w:rFonts w:hint="eastAsia" w:ascii="宋体" w:hAnsi="宋体" w:eastAsia="宋体"/>
                <w:color w:val="auto"/>
                <w:sz w:val="24"/>
                <w:szCs w:val="24"/>
                <w:highlight w:val="none"/>
                <w:lang w:val="en-US" w:eastAsia="zh-CN"/>
              </w:rPr>
              <w:t>9</w:t>
            </w:r>
            <w:r>
              <w:rPr>
                <w:rFonts w:hint="default" w:ascii="宋体" w:hAnsi="宋体" w:eastAsia="宋体"/>
                <w:color w:val="auto"/>
                <w:sz w:val="24"/>
                <w:szCs w:val="24"/>
                <w:highlight w:val="none"/>
                <w:lang w:val="en-US" w:eastAsia="zh-CN"/>
              </w:rPr>
              <w:t>分。提供合同协议书。</w:t>
            </w:r>
          </w:p>
        </w:tc>
        <w:tc>
          <w:tcPr>
            <w:tcW w:w="867" w:type="dxa"/>
            <w:noWrap w:val="0"/>
            <w:vAlign w:val="center"/>
          </w:tcPr>
          <w:p w14:paraId="09F77436">
            <w:pPr>
              <w:jc w:val="center"/>
              <w:rPr>
                <w:rFonts w:hint="default"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9</w:t>
            </w:r>
          </w:p>
        </w:tc>
      </w:tr>
      <w:tr w14:paraId="577EA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6" w:hRule="atLeast"/>
          <w:jc w:val="center"/>
        </w:trPr>
        <w:tc>
          <w:tcPr>
            <w:tcW w:w="1384" w:type="dxa"/>
            <w:vMerge w:val="continue"/>
            <w:noWrap w:val="0"/>
            <w:vAlign w:val="center"/>
          </w:tcPr>
          <w:p w14:paraId="001DD01F">
            <w:pPr>
              <w:jc w:val="center"/>
              <w:rPr>
                <w:rFonts w:ascii="宋体" w:hAnsi="宋体"/>
                <w:color w:val="auto"/>
                <w:sz w:val="24"/>
                <w:szCs w:val="24"/>
                <w:highlight w:val="none"/>
              </w:rPr>
            </w:pPr>
          </w:p>
        </w:tc>
        <w:tc>
          <w:tcPr>
            <w:tcW w:w="2579" w:type="dxa"/>
            <w:noWrap w:val="0"/>
            <w:vAlign w:val="center"/>
          </w:tcPr>
          <w:p w14:paraId="0E737625">
            <w:pPr>
              <w:spacing w:line="0" w:lineRule="atLeast"/>
              <w:jc w:val="center"/>
              <w:rPr>
                <w:rFonts w:hint="eastAsia" w:ascii="宋体" w:hAnsi="宋体"/>
                <w:color w:val="auto"/>
                <w:sz w:val="24"/>
                <w:szCs w:val="24"/>
                <w:highlight w:val="none"/>
                <w:lang w:eastAsia="zh-CN"/>
              </w:rPr>
            </w:pPr>
            <w:r>
              <w:rPr>
                <w:rFonts w:hint="eastAsia" w:ascii="宋体" w:hAnsi="宋体"/>
                <w:color w:val="auto"/>
                <w:sz w:val="24"/>
                <w:szCs w:val="24"/>
                <w:highlight w:val="none"/>
                <w:lang w:eastAsia="zh-CN"/>
              </w:rPr>
              <w:t>响应承诺</w:t>
            </w:r>
          </w:p>
        </w:tc>
        <w:tc>
          <w:tcPr>
            <w:tcW w:w="4934" w:type="dxa"/>
            <w:noWrap w:val="0"/>
            <w:vAlign w:val="center"/>
          </w:tcPr>
          <w:p w14:paraId="182886DA">
            <w:pPr>
              <w:spacing w:line="0" w:lineRule="atLeast"/>
              <w:ind w:left="100"/>
              <w:jc w:val="left"/>
              <w:rPr>
                <w:rFonts w:hint="default" w:ascii="宋体" w:hAnsi="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供应商提供的服务在</w:t>
            </w:r>
            <w:r>
              <w:rPr>
                <w:rFonts w:hint="eastAsia" w:ascii="宋体" w:hAnsi="宋体" w:eastAsia="宋体" w:cs="宋体"/>
                <w:sz w:val="24"/>
                <w:szCs w:val="24"/>
              </w:rPr>
              <w:t>达到双方相关施工质量验收规范要求，</w:t>
            </w:r>
            <w:r>
              <w:rPr>
                <w:rFonts w:hint="eastAsia" w:ascii="宋体" w:hAnsi="宋体" w:eastAsia="宋体" w:cs="宋体"/>
                <w:color w:val="auto"/>
                <w:sz w:val="24"/>
                <w:szCs w:val="24"/>
                <w:highlight w:val="none"/>
                <w:lang w:val="en-US" w:eastAsia="zh-CN"/>
              </w:rPr>
              <w:t>满足用户要求</w:t>
            </w:r>
            <w:r>
              <w:rPr>
                <w:rFonts w:hint="eastAsia" w:ascii="宋体" w:hAnsi="宋体" w:cs="宋体"/>
                <w:color w:val="auto"/>
                <w:sz w:val="24"/>
                <w:szCs w:val="24"/>
                <w:highlight w:val="none"/>
                <w:lang w:val="en-US" w:eastAsia="zh-CN"/>
              </w:rPr>
              <w:t>，</w:t>
            </w:r>
            <w:r>
              <w:rPr>
                <w:rFonts w:hint="eastAsia" w:ascii="宋体" w:hAnsi="宋体" w:eastAsia="宋体" w:cs="宋体"/>
                <w:sz w:val="24"/>
                <w:szCs w:val="24"/>
              </w:rPr>
              <w:t>并达到合格标准</w:t>
            </w:r>
            <w:r>
              <w:rPr>
                <w:rFonts w:hint="eastAsia" w:ascii="宋体" w:hAnsi="宋体" w:eastAsia="宋体" w:cs="宋体"/>
                <w:color w:val="auto"/>
                <w:sz w:val="24"/>
                <w:szCs w:val="24"/>
                <w:highlight w:val="none"/>
                <w:lang w:val="en-US" w:eastAsia="zh-CN"/>
              </w:rPr>
              <w:t>的得</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分；其它不得分。（提供承诺书并加盖公章）</w:t>
            </w:r>
          </w:p>
        </w:tc>
        <w:tc>
          <w:tcPr>
            <w:tcW w:w="867" w:type="dxa"/>
            <w:noWrap w:val="0"/>
            <w:vAlign w:val="center"/>
          </w:tcPr>
          <w:p w14:paraId="32CA3B4F">
            <w:pPr>
              <w:jc w:val="center"/>
              <w:rPr>
                <w:rFonts w:hint="default"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6</w:t>
            </w:r>
          </w:p>
        </w:tc>
      </w:tr>
      <w:tr w14:paraId="508DC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6" w:hRule="atLeast"/>
          <w:jc w:val="center"/>
        </w:trPr>
        <w:tc>
          <w:tcPr>
            <w:tcW w:w="1384" w:type="dxa"/>
            <w:vMerge w:val="continue"/>
            <w:noWrap w:val="0"/>
            <w:vAlign w:val="center"/>
          </w:tcPr>
          <w:p w14:paraId="09A966D4">
            <w:pPr>
              <w:jc w:val="center"/>
              <w:rPr>
                <w:rFonts w:ascii="宋体" w:hAnsi="宋体"/>
                <w:color w:val="auto"/>
                <w:sz w:val="24"/>
                <w:szCs w:val="24"/>
                <w:highlight w:val="none"/>
              </w:rPr>
            </w:pPr>
          </w:p>
        </w:tc>
        <w:tc>
          <w:tcPr>
            <w:tcW w:w="2579" w:type="dxa"/>
            <w:noWrap w:val="0"/>
            <w:vAlign w:val="center"/>
          </w:tcPr>
          <w:p w14:paraId="782694BA">
            <w:pPr>
              <w:spacing w:line="0" w:lineRule="atLeast"/>
              <w:jc w:val="center"/>
              <w:rPr>
                <w:rFonts w:hint="eastAsia" w:ascii="宋体" w:hAnsi="宋体"/>
                <w:color w:val="auto"/>
                <w:sz w:val="24"/>
                <w:szCs w:val="24"/>
                <w:highlight w:val="none"/>
                <w:lang w:eastAsia="zh-CN"/>
              </w:rPr>
            </w:pPr>
            <w:r>
              <w:rPr>
                <w:rFonts w:hint="eastAsia" w:ascii="宋体" w:hAnsi="宋体"/>
                <w:color w:val="auto"/>
                <w:sz w:val="24"/>
                <w:szCs w:val="24"/>
                <w:highlight w:val="none"/>
                <w:lang w:eastAsia="zh-CN"/>
              </w:rPr>
              <w:t>文件编制</w:t>
            </w:r>
          </w:p>
        </w:tc>
        <w:tc>
          <w:tcPr>
            <w:tcW w:w="4934" w:type="dxa"/>
            <w:noWrap w:val="0"/>
            <w:vAlign w:val="center"/>
          </w:tcPr>
          <w:p w14:paraId="5532C2A5">
            <w:pPr>
              <w:spacing w:line="0" w:lineRule="atLeast"/>
              <w:ind w:left="1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按供应商制作响应文件情况的优劣,响应文件制作精良整洁，有连续页码，内容提供全面，符合磋商文件要求综合打分，优</w:t>
            </w:r>
            <w:r>
              <w:rPr>
                <w:rFonts w:hint="eastAsia" w:ascii="宋体" w:hAnsi="宋体"/>
                <w:color w:val="auto"/>
                <w:sz w:val="24"/>
                <w:szCs w:val="24"/>
                <w:highlight w:val="none"/>
                <w:lang w:val="en-US" w:eastAsia="zh-CN"/>
              </w:rPr>
              <w:t>10-15</w:t>
            </w:r>
            <w:r>
              <w:rPr>
                <w:rFonts w:hint="default" w:ascii="宋体" w:hAnsi="宋体"/>
                <w:color w:val="auto"/>
                <w:sz w:val="24"/>
                <w:szCs w:val="24"/>
                <w:highlight w:val="none"/>
                <w:lang w:val="en-US" w:eastAsia="zh-CN"/>
              </w:rPr>
              <w:t>分，良</w:t>
            </w:r>
            <w:r>
              <w:rPr>
                <w:rFonts w:hint="eastAsia" w:ascii="宋体" w:hAnsi="宋体"/>
                <w:color w:val="auto"/>
                <w:sz w:val="24"/>
                <w:szCs w:val="24"/>
                <w:highlight w:val="none"/>
                <w:lang w:val="en-US" w:eastAsia="zh-CN"/>
              </w:rPr>
              <w:t>5-10</w:t>
            </w:r>
            <w:r>
              <w:rPr>
                <w:rFonts w:hint="default" w:ascii="宋体" w:hAnsi="宋体"/>
                <w:color w:val="auto"/>
                <w:sz w:val="24"/>
                <w:szCs w:val="24"/>
                <w:highlight w:val="none"/>
                <w:lang w:val="en-US" w:eastAsia="zh-CN"/>
              </w:rPr>
              <w:t>分，差</w:t>
            </w:r>
            <w:r>
              <w:rPr>
                <w:rFonts w:hint="eastAsia" w:ascii="宋体" w:hAnsi="宋体"/>
                <w:color w:val="auto"/>
                <w:sz w:val="24"/>
                <w:szCs w:val="24"/>
                <w:highlight w:val="none"/>
                <w:lang w:val="en-US" w:eastAsia="zh-CN"/>
              </w:rPr>
              <w:t>1-5</w:t>
            </w:r>
            <w:r>
              <w:rPr>
                <w:rFonts w:hint="default" w:ascii="宋体" w:hAnsi="宋体"/>
                <w:color w:val="auto"/>
                <w:sz w:val="24"/>
                <w:szCs w:val="24"/>
                <w:highlight w:val="none"/>
                <w:lang w:val="en-US" w:eastAsia="zh-CN"/>
              </w:rPr>
              <w:t>分。</w:t>
            </w:r>
          </w:p>
        </w:tc>
        <w:tc>
          <w:tcPr>
            <w:tcW w:w="867" w:type="dxa"/>
            <w:noWrap w:val="0"/>
            <w:vAlign w:val="center"/>
          </w:tcPr>
          <w:p w14:paraId="4A2FA710">
            <w:pPr>
              <w:jc w:val="center"/>
              <w:rPr>
                <w:rFonts w:hint="default"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15</w:t>
            </w:r>
          </w:p>
        </w:tc>
      </w:tr>
      <w:tr w14:paraId="2CCCD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jc w:val="center"/>
        </w:trPr>
        <w:tc>
          <w:tcPr>
            <w:tcW w:w="1384" w:type="dxa"/>
            <w:vMerge w:val="restart"/>
            <w:noWrap w:val="0"/>
            <w:vAlign w:val="center"/>
          </w:tcPr>
          <w:p w14:paraId="40B8CC4E">
            <w:pPr>
              <w:jc w:val="center"/>
              <w:rPr>
                <w:rFonts w:hint="eastAsia" w:ascii="宋体" w:hAnsi="宋体"/>
                <w:color w:val="auto"/>
                <w:sz w:val="24"/>
                <w:szCs w:val="24"/>
                <w:highlight w:val="none"/>
              </w:rPr>
            </w:pPr>
            <w:r>
              <w:rPr>
                <w:rFonts w:hint="eastAsia" w:ascii="宋体" w:hAnsi="宋体"/>
                <w:color w:val="auto"/>
                <w:sz w:val="24"/>
                <w:szCs w:val="24"/>
                <w:highlight w:val="none"/>
              </w:rPr>
              <w:t>技术部分（</w:t>
            </w:r>
            <w:r>
              <w:rPr>
                <w:rFonts w:hint="eastAsia" w:ascii="宋体" w:hAnsi="宋体"/>
                <w:color w:val="auto"/>
                <w:sz w:val="24"/>
                <w:szCs w:val="24"/>
                <w:highlight w:val="none"/>
                <w:lang w:val="en-US" w:eastAsia="zh-CN"/>
              </w:rPr>
              <w:t>30</w:t>
            </w:r>
            <w:r>
              <w:rPr>
                <w:rFonts w:hint="eastAsia" w:ascii="宋体" w:hAnsi="宋体"/>
                <w:color w:val="auto"/>
                <w:sz w:val="24"/>
                <w:szCs w:val="24"/>
                <w:highlight w:val="none"/>
              </w:rPr>
              <w:t>分）</w:t>
            </w:r>
          </w:p>
          <w:p w14:paraId="517FB439">
            <w:pPr>
              <w:jc w:val="center"/>
              <w:rPr>
                <w:rFonts w:hint="eastAsia" w:ascii="宋体" w:hAnsi="宋体"/>
                <w:color w:val="auto"/>
                <w:sz w:val="24"/>
                <w:szCs w:val="24"/>
                <w:highlight w:val="none"/>
              </w:rPr>
            </w:pPr>
          </w:p>
          <w:p w14:paraId="6882C48F">
            <w:pPr>
              <w:jc w:val="center"/>
              <w:rPr>
                <w:rFonts w:hint="eastAsia" w:ascii="宋体" w:hAnsi="宋体"/>
                <w:color w:val="auto"/>
                <w:sz w:val="24"/>
                <w:szCs w:val="24"/>
                <w:highlight w:val="none"/>
              </w:rPr>
            </w:pPr>
          </w:p>
        </w:tc>
        <w:tc>
          <w:tcPr>
            <w:tcW w:w="2579" w:type="dxa"/>
            <w:noWrap w:val="0"/>
            <w:vAlign w:val="center"/>
          </w:tcPr>
          <w:p w14:paraId="60D80EC6">
            <w:pPr>
              <w:spacing w:line="0" w:lineRule="atLeast"/>
              <w:jc w:val="center"/>
              <w:rPr>
                <w:rFonts w:ascii="宋体" w:hAnsi="宋体"/>
                <w:color w:val="auto"/>
                <w:sz w:val="24"/>
                <w:szCs w:val="24"/>
                <w:highlight w:val="none"/>
              </w:rPr>
            </w:pPr>
            <w:r>
              <w:rPr>
                <w:rFonts w:hint="eastAsia" w:ascii="宋体" w:hAnsi="宋体"/>
                <w:color w:val="auto"/>
                <w:sz w:val="24"/>
                <w:szCs w:val="24"/>
                <w:highlight w:val="none"/>
                <w:lang w:val="en-US" w:eastAsia="zh-CN"/>
              </w:rPr>
              <w:t>服务</w:t>
            </w:r>
            <w:r>
              <w:rPr>
                <w:rFonts w:hint="eastAsia" w:ascii="宋体" w:hAnsi="宋体"/>
                <w:color w:val="auto"/>
                <w:sz w:val="24"/>
                <w:szCs w:val="24"/>
                <w:highlight w:val="none"/>
              </w:rPr>
              <w:t>保证能力</w:t>
            </w:r>
          </w:p>
        </w:tc>
        <w:tc>
          <w:tcPr>
            <w:tcW w:w="4934" w:type="dxa"/>
            <w:noWrap w:val="0"/>
            <w:vAlign w:val="center"/>
          </w:tcPr>
          <w:p w14:paraId="56144345">
            <w:pPr>
              <w:spacing w:line="0" w:lineRule="atLeast"/>
              <w:jc w:val="left"/>
              <w:rPr>
                <w:rFonts w:hint="eastAsia" w:ascii="宋体" w:hAnsi="宋体"/>
                <w:color w:val="auto"/>
                <w:sz w:val="24"/>
                <w:szCs w:val="24"/>
                <w:highlight w:val="none"/>
              </w:rPr>
            </w:pPr>
            <w:r>
              <w:rPr>
                <w:rFonts w:hint="eastAsia" w:ascii="宋体" w:hAnsi="宋体"/>
                <w:color w:val="auto"/>
                <w:sz w:val="24"/>
                <w:szCs w:val="24"/>
                <w:highlight w:val="none"/>
              </w:rPr>
              <w:t>根据供应商</w:t>
            </w:r>
            <w:r>
              <w:rPr>
                <w:rFonts w:hint="eastAsia" w:ascii="宋体" w:hAnsi="宋体"/>
                <w:color w:val="auto"/>
                <w:sz w:val="24"/>
                <w:szCs w:val="24"/>
                <w:highlight w:val="none"/>
                <w:lang w:val="en-US" w:eastAsia="zh-CN"/>
              </w:rPr>
              <w:t>服务</w:t>
            </w:r>
            <w:r>
              <w:rPr>
                <w:rFonts w:hint="eastAsia" w:ascii="宋体" w:hAnsi="宋体"/>
                <w:color w:val="auto"/>
                <w:sz w:val="24"/>
                <w:szCs w:val="24"/>
                <w:highlight w:val="none"/>
              </w:rPr>
              <w:t>方案、计划、保障措施等进行综合评分：</w:t>
            </w:r>
          </w:p>
          <w:p w14:paraId="57C91934">
            <w:pPr>
              <w:spacing w:line="0" w:lineRule="atLeast"/>
              <w:jc w:val="left"/>
              <w:rPr>
                <w:rFonts w:hint="eastAsia" w:ascii="宋体" w:hAnsi="宋体"/>
                <w:color w:val="auto"/>
                <w:sz w:val="24"/>
                <w:szCs w:val="24"/>
                <w:highlight w:val="none"/>
              </w:rPr>
            </w:pPr>
            <w:r>
              <w:rPr>
                <w:rFonts w:hint="eastAsia" w:ascii="宋体" w:hAnsi="宋体"/>
                <w:color w:val="auto"/>
                <w:sz w:val="24"/>
                <w:szCs w:val="24"/>
                <w:highlight w:val="none"/>
              </w:rPr>
              <w:t>内容详实可行，时间计划安排科学合理，得</w:t>
            </w: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分；</w:t>
            </w:r>
          </w:p>
          <w:p w14:paraId="2625EF23">
            <w:pPr>
              <w:spacing w:line="0" w:lineRule="atLeast"/>
              <w:jc w:val="left"/>
              <w:rPr>
                <w:rFonts w:hint="eastAsia" w:ascii="宋体" w:hAnsi="宋体"/>
                <w:color w:val="auto"/>
                <w:sz w:val="24"/>
                <w:szCs w:val="24"/>
                <w:highlight w:val="none"/>
              </w:rPr>
            </w:pPr>
            <w:r>
              <w:rPr>
                <w:rFonts w:hint="eastAsia" w:ascii="宋体" w:hAnsi="宋体"/>
                <w:color w:val="auto"/>
                <w:sz w:val="24"/>
                <w:szCs w:val="24"/>
                <w:highlight w:val="none"/>
              </w:rPr>
              <w:t>内容详实、基本可行，时间计划安排基本合理，得</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分；</w:t>
            </w:r>
          </w:p>
          <w:p w14:paraId="6590EF4A">
            <w:pPr>
              <w:spacing w:line="0" w:lineRule="atLeast"/>
              <w:jc w:val="left"/>
              <w:rPr>
                <w:rFonts w:ascii="宋体" w:hAnsi="宋体"/>
                <w:color w:val="auto"/>
                <w:sz w:val="24"/>
                <w:szCs w:val="24"/>
                <w:highlight w:val="none"/>
              </w:rPr>
            </w:pPr>
            <w:r>
              <w:rPr>
                <w:rFonts w:hint="eastAsia" w:ascii="宋体" w:hAnsi="宋体"/>
                <w:color w:val="auto"/>
                <w:sz w:val="24"/>
                <w:szCs w:val="24"/>
                <w:highlight w:val="none"/>
              </w:rPr>
              <w:t>内容不完整，可行性一般的得1-2分，其他情况不得分。</w:t>
            </w:r>
          </w:p>
        </w:tc>
        <w:tc>
          <w:tcPr>
            <w:tcW w:w="867" w:type="dxa"/>
            <w:noWrap w:val="0"/>
            <w:vAlign w:val="center"/>
          </w:tcPr>
          <w:p w14:paraId="45C93D41">
            <w:pPr>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5</w:t>
            </w:r>
          </w:p>
        </w:tc>
      </w:tr>
      <w:tr w14:paraId="0AB48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jc w:val="center"/>
        </w:trPr>
        <w:tc>
          <w:tcPr>
            <w:tcW w:w="1384" w:type="dxa"/>
            <w:vMerge w:val="continue"/>
            <w:noWrap w:val="0"/>
            <w:vAlign w:val="center"/>
          </w:tcPr>
          <w:p w14:paraId="487A283E">
            <w:pPr>
              <w:jc w:val="center"/>
              <w:rPr>
                <w:rFonts w:ascii="宋体" w:hAnsi="宋体"/>
                <w:color w:val="auto"/>
                <w:sz w:val="24"/>
                <w:szCs w:val="24"/>
                <w:highlight w:val="none"/>
              </w:rPr>
            </w:pPr>
          </w:p>
        </w:tc>
        <w:tc>
          <w:tcPr>
            <w:tcW w:w="2579" w:type="dxa"/>
            <w:noWrap w:val="0"/>
            <w:vAlign w:val="center"/>
          </w:tcPr>
          <w:p w14:paraId="53FB2CB7">
            <w:pPr>
              <w:spacing w:line="0" w:lineRule="atLeast"/>
              <w:jc w:val="center"/>
              <w:rPr>
                <w:rFonts w:ascii="宋体" w:hAnsi="宋体"/>
                <w:color w:val="auto"/>
                <w:sz w:val="24"/>
                <w:szCs w:val="24"/>
                <w:highlight w:val="none"/>
              </w:rPr>
            </w:pPr>
            <w:r>
              <w:rPr>
                <w:rFonts w:hint="eastAsia" w:ascii="宋体" w:hAnsi="宋体"/>
                <w:color w:val="auto"/>
                <w:sz w:val="24"/>
                <w:szCs w:val="24"/>
                <w:highlight w:val="none"/>
              </w:rPr>
              <w:t>实施方案</w:t>
            </w:r>
          </w:p>
        </w:tc>
        <w:tc>
          <w:tcPr>
            <w:tcW w:w="4934" w:type="dxa"/>
            <w:noWrap w:val="0"/>
            <w:vAlign w:val="center"/>
          </w:tcPr>
          <w:p w14:paraId="22D0A379">
            <w:pPr>
              <w:spacing w:line="0" w:lineRule="atLeast"/>
              <w:jc w:val="left"/>
              <w:rPr>
                <w:rFonts w:ascii="宋体" w:hAnsi="宋体"/>
                <w:color w:val="auto"/>
                <w:sz w:val="24"/>
                <w:szCs w:val="24"/>
                <w:highlight w:val="none"/>
              </w:rPr>
            </w:pPr>
            <w:r>
              <w:rPr>
                <w:rFonts w:hint="eastAsia" w:ascii="宋体" w:hAnsi="宋体"/>
                <w:color w:val="auto"/>
                <w:sz w:val="24"/>
                <w:szCs w:val="24"/>
                <w:highlight w:val="none"/>
              </w:rPr>
              <w:t>根据供应商制定的实施方案是否充分考虑用户的日常用途和需求，实施规范是否符合国家、行业标准，是否有技术亮点，验收标准和方案是否合理等综合评分：内容科学、安排合理的，得</w:t>
            </w:r>
            <w:r>
              <w:rPr>
                <w:rFonts w:hint="eastAsia" w:ascii="宋体" w:hAnsi="宋体"/>
                <w:color w:val="auto"/>
                <w:sz w:val="24"/>
                <w:szCs w:val="24"/>
                <w:highlight w:val="none"/>
                <w:lang w:val="en-US" w:eastAsia="zh-CN"/>
              </w:rPr>
              <w:t>10</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15</w:t>
            </w:r>
            <w:r>
              <w:rPr>
                <w:rFonts w:hint="eastAsia" w:ascii="宋体" w:hAnsi="宋体"/>
                <w:color w:val="auto"/>
                <w:sz w:val="24"/>
                <w:szCs w:val="24"/>
                <w:highlight w:val="none"/>
              </w:rPr>
              <w:t>分；内容基本完整可行的，得</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10</w:t>
            </w:r>
            <w:r>
              <w:rPr>
                <w:rFonts w:hint="eastAsia" w:ascii="宋体" w:hAnsi="宋体"/>
                <w:color w:val="auto"/>
                <w:sz w:val="24"/>
                <w:szCs w:val="24"/>
                <w:highlight w:val="none"/>
              </w:rPr>
              <w:t>分；内容不完整的，得1-</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分。其他情况不得分。</w:t>
            </w:r>
          </w:p>
        </w:tc>
        <w:tc>
          <w:tcPr>
            <w:tcW w:w="867" w:type="dxa"/>
            <w:noWrap w:val="0"/>
            <w:vAlign w:val="center"/>
          </w:tcPr>
          <w:p w14:paraId="1F66DB6A">
            <w:pPr>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15</w:t>
            </w:r>
          </w:p>
        </w:tc>
      </w:tr>
      <w:tr w14:paraId="01B93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jc w:val="center"/>
        </w:trPr>
        <w:tc>
          <w:tcPr>
            <w:tcW w:w="1384" w:type="dxa"/>
            <w:vMerge w:val="continue"/>
            <w:noWrap w:val="0"/>
            <w:vAlign w:val="center"/>
          </w:tcPr>
          <w:p w14:paraId="2CA7853B">
            <w:pPr>
              <w:jc w:val="center"/>
              <w:rPr>
                <w:rFonts w:ascii="宋体" w:hAnsi="宋体"/>
                <w:color w:val="auto"/>
                <w:sz w:val="24"/>
                <w:szCs w:val="24"/>
                <w:highlight w:val="none"/>
              </w:rPr>
            </w:pPr>
          </w:p>
        </w:tc>
        <w:tc>
          <w:tcPr>
            <w:tcW w:w="2579" w:type="dxa"/>
            <w:noWrap w:val="0"/>
            <w:vAlign w:val="center"/>
          </w:tcPr>
          <w:p w14:paraId="0C369616">
            <w:pPr>
              <w:spacing w:line="0" w:lineRule="atLeast"/>
              <w:jc w:val="center"/>
              <w:rPr>
                <w:rFonts w:ascii="宋体" w:hAnsi="宋体"/>
                <w:color w:val="auto"/>
                <w:sz w:val="24"/>
                <w:szCs w:val="24"/>
                <w:highlight w:val="none"/>
              </w:rPr>
            </w:pPr>
            <w:r>
              <w:rPr>
                <w:rFonts w:hint="eastAsia" w:ascii="宋体" w:hAnsi="宋体"/>
                <w:color w:val="auto"/>
                <w:sz w:val="24"/>
                <w:szCs w:val="24"/>
                <w:highlight w:val="none"/>
              </w:rPr>
              <w:t>质保期</w:t>
            </w:r>
          </w:p>
        </w:tc>
        <w:tc>
          <w:tcPr>
            <w:tcW w:w="4934" w:type="dxa"/>
            <w:noWrap w:val="0"/>
            <w:vAlign w:val="center"/>
          </w:tcPr>
          <w:p w14:paraId="32D4CE4E">
            <w:pPr>
              <w:spacing w:line="0" w:lineRule="atLeast"/>
              <w:jc w:val="left"/>
              <w:rPr>
                <w:rFonts w:ascii="宋体" w:hAnsi="宋体"/>
                <w:color w:val="auto"/>
                <w:sz w:val="24"/>
                <w:szCs w:val="24"/>
                <w:highlight w:val="none"/>
              </w:rPr>
            </w:pPr>
            <w:r>
              <w:rPr>
                <w:rFonts w:hint="eastAsia" w:ascii="宋体" w:hAnsi="宋体"/>
                <w:color w:val="auto"/>
                <w:sz w:val="24"/>
                <w:szCs w:val="24"/>
                <w:highlight w:val="none"/>
              </w:rPr>
              <w:t>在文件要求的</w:t>
            </w:r>
            <w:r>
              <w:rPr>
                <w:rFonts w:hint="eastAsia" w:ascii="宋体" w:hAnsi="宋体"/>
                <w:color w:val="auto"/>
                <w:sz w:val="24"/>
                <w:szCs w:val="24"/>
                <w:highlight w:val="none"/>
                <w:lang w:val="en-US" w:eastAsia="zh-CN"/>
              </w:rPr>
              <w:t>养护</w:t>
            </w:r>
            <w:r>
              <w:rPr>
                <w:rFonts w:hint="eastAsia" w:ascii="宋体" w:hAnsi="宋体"/>
                <w:color w:val="auto"/>
                <w:sz w:val="24"/>
                <w:szCs w:val="24"/>
                <w:highlight w:val="none"/>
              </w:rPr>
              <w:t>质保期基础上，供应商承诺延长质保期的，每延长6个月加2分，最多加4分。（需提供承诺函并加盖公章，否则不得分）</w:t>
            </w:r>
          </w:p>
        </w:tc>
        <w:tc>
          <w:tcPr>
            <w:tcW w:w="867" w:type="dxa"/>
            <w:noWrap w:val="0"/>
            <w:vAlign w:val="center"/>
          </w:tcPr>
          <w:p w14:paraId="6EB33A78">
            <w:pPr>
              <w:jc w:val="center"/>
              <w:rPr>
                <w:rFonts w:hint="default"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4</w:t>
            </w:r>
          </w:p>
        </w:tc>
      </w:tr>
      <w:tr w14:paraId="6FA87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jc w:val="center"/>
        </w:trPr>
        <w:tc>
          <w:tcPr>
            <w:tcW w:w="1384" w:type="dxa"/>
            <w:vMerge w:val="continue"/>
            <w:noWrap w:val="0"/>
            <w:vAlign w:val="center"/>
          </w:tcPr>
          <w:p w14:paraId="4A32EE82">
            <w:pPr>
              <w:jc w:val="center"/>
              <w:rPr>
                <w:rFonts w:ascii="宋体" w:hAnsi="宋体"/>
                <w:color w:val="auto"/>
                <w:sz w:val="24"/>
                <w:szCs w:val="24"/>
                <w:highlight w:val="none"/>
              </w:rPr>
            </w:pPr>
          </w:p>
        </w:tc>
        <w:tc>
          <w:tcPr>
            <w:tcW w:w="2579" w:type="dxa"/>
            <w:noWrap w:val="0"/>
            <w:vAlign w:val="center"/>
          </w:tcPr>
          <w:p w14:paraId="08CE0710">
            <w:pPr>
              <w:spacing w:line="0" w:lineRule="atLeast"/>
              <w:jc w:val="center"/>
              <w:rPr>
                <w:rFonts w:hint="default" w:ascii="宋体" w:hAnsi="宋体" w:eastAsia="宋体"/>
                <w:color w:val="auto"/>
                <w:sz w:val="24"/>
                <w:szCs w:val="24"/>
                <w:highlight w:val="none"/>
                <w:lang w:val="en-US" w:eastAsia="zh-CN"/>
              </w:rPr>
            </w:pPr>
            <w:r>
              <w:rPr>
                <w:rFonts w:hint="default" w:ascii="宋体" w:hAnsi="宋体" w:eastAsia="宋体"/>
                <w:color w:val="auto"/>
                <w:sz w:val="24"/>
                <w:szCs w:val="24"/>
                <w:highlight w:val="none"/>
                <w:lang w:val="en-US" w:eastAsia="zh-CN"/>
              </w:rPr>
              <w:t>售后服务</w:t>
            </w:r>
          </w:p>
        </w:tc>
        <w:tc>
          <w:tcPr>
            <w:tcW w:w="4934" w:type="dxa"/>
            <w:noWrap w:val="0"/>
            <w:vAlign w:val="center"/>
          </w:tcPr>
          <w:p w14:paraId="148EE8BA">
            <w:pPr>
              <w:spacing w:line="0" w:lineRule="atLeast"/>
              <w:ind w:left="100"/>
              <w:jc w:val="left"/>
              <w:rPr>
                <w:rFonts w:hint="eastAsia" w:ascii="宋体" w:hAnsi="宋体"/>
                <w:color w:val="auto"/>
                <w:sz w:val="24"/>
                <w:szCs w:val="24"/>
                <w:highlight w:val="none"/>
              </w:rPr>
            </w:pPr>
            <w:r>
              <w:rPr>
                <w:rFonts w:hint="eastAsia" w:ascii="宋体" w:hAnsi="宋体"/>
                <w:color w:val="auto"/>
                <w:sz w:val="24"/>
                <w:szCs w:val="24"/>
                <w:highlight w:val="none"/>
              </w:rPr>
              <w:t>根据供应商服务承诺及服务响应、服务队伍规模、技术力量、响应时间、配件储备情况以及其它优惠的售后服务措施等进行综合评审优得</w:t>
            </w:r>
            <w:r>
              <w:rPr>
                <w:rFonts w:hint="eastAsia" w:ascii="宋体" w:hAnsi="宋体"/>
                <w:color w:val="auto"/>
                <w:sz w:val="24"/>
                <w:szCs w:val="24"/>
                <w:highlight w:val="none"/>
                <w:lang w:val="en-US" w:eastAsia="zh-CN"/>
              </w:rPr>
              <w:t>4</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6</w:t>
            </w:r>
            <w:r>
              <w:rPr>
                <w:rFonts w:hint="eastAsia" w:ascii="宋体" w:hAnsi="宋体"/>
                <w:color w:val="auto"/>
                <w:sz w:val="24"/>
                <w:szCs w:val="24"/>
                <w:highlight w:val="none"/>
              </w:rPr>
              <w:t>分，良得</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4</w:t>
            </w:r>
            <w:r>
              <w:rPr>
                <w:rFonts w:hint="eastAsia" w:ascii="宋体" w:hAnsi="宋体"/>
                <w:color w:val="auto"/>
                <w:sz w:val="24"/>
                <w:szCs w:val="24"/>
                <w:highlight w:val="none"/>
              </w:rPr>
              <w:t>分，一般得1-</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分。</w:t>
            </w:r>
          </w:p>
        </w:tc>
        <w:tc>
          <w:tcPr>
            <w:tcW w:w="867" w:type="dxa"/>
            <w:noWrap w:val="0"/>
            <w:vAlign w:val="center"/>
          </w:tcPr>
          <w:p w14:paraId="1BFC7336">
            <w:pPr>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6</w:t>
            </w:r>
          </w:p>
        </w:tc>
      </w:tr>
      <w:tr w14:paraId="33099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384" w:type="dxa"/>
            <w:noWrap w:val="0"/>
            <w:vAlign w:val="center"/>
          </w:tcPr>
          <w:p w14:paraId="24402932">
            <w:pPr>
              <w:spacing w:line="0" w:lineRule="atLeast"/>
              <w:jc w:val="center"/>
              <w:rPr>
                <w:rFonts w:ascii="宋体" w:hAnsi="宋体"/>
                <w:color w:val="auto"/>
                <w:w w:val="99"/>
                <w:sz w:val="24"/>
                <w:szCs w:val="24"/>
                <w:highlight w:val="none"/>
              </w:rPr>
            </w:pPr>
            <w:r>
              <w:rPr>
                <w:rFonts w:hint="eastAsia" w:ascii="宋体" w:hAnsi="宋体"/>
                <w:color w:val="auto"/>
                <w:sz w:val="24"/>
                <w:szCs w:val="24"/>
                <w:highlight w:val="none"/>
              </w:rPr>
              <w:t>价格部分（</w:t>
            </w:r>
            <w:r>
              <w:rPr>
                <w:rFonts w:hint="eastAsia" w:ascii="宋体" w:hAnsi="宋体"/>
                <w:color w:val="auto"/>
                <w:sz w:val="24"/>
                <w:szCs w:val="24"/>
                <w:highlight w:val="none"/>
                <w:lang w:val="en-US" w:eastAsia="zh-CN"/>
              </w:rPr>
              <w:t>40</w:t>
            </w:r>
            <w:r>
              <w:rPr>
                <w:rFonts w:hint="eastAsia" w:ascii="宋体" w:hAnsi="宋体"/>
                <w:color w:val="auto"/>
                <w:sz w:val="24"/>
                <w:szCs w:val="24"/>
                <w:highlight w:val="none"/>
              </w:rPr>
              <w:t>分）</w:t>
            </w:r>
          </w:p>
        </w:tc>
        <w:tc>
          <w:tcPr>
            <w:tcW w:w="2579" w:type="dxa"/>
            <w:noWrap w:val="0"/>
            <w:vAlign w:val="center"/>
          </w:tcPr>
          <w:p w14:paraId="029A6BCD">
            <w:pPr>
              <w:spacing w:line="0" w:lineRule="atLeast"/>
              <w:jc w:val="center"/>
              <w:rPr>
                <w:rFonts w:hint="eastAsia" w:ascii="宋体" w:hAnsi="宋体"/>
                <w:color w:val="auto"/>
                <w:sz w:val="24"/>
                <w:szCs w:val="24"/>
                <w:highlight w:val="none"/>
              </w:rPr>
            </w:pPr>
            <w:r>
              <w:rPr>
                <w:rFonts w:hint="eastAsia" w:ascii="宋体" w:hAnsi="宋体"/>
                <w:color w:val="auto"/>
                <w:sz w:val="24"/>
                <w:szCs w:val="24"/>
                <w:highlight w:val="none"/>
              </w:rPr>
              <w:t>报价得分</w:t>
            </w:r>
          </w:p>
        </w:tc>
        <w:tc>
          <w:tcPr>
            <w:tcW w:w="4934" w:type="dxa"/>
            <w:noWrap w:val="0"/>
            <w:vAlign w:val="center"/>
          </w:tcPr>
          <w:p w14:paraId="069E3F65">
            <w:pPr>
              <w:spacing w:line="0" w:lineRule="atLeast"/>
              <w:ind w:left="1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基准价的确定办法为：若有效磋商大于五家，基准价为各有效磋商的磋商报价中，去掉一个最高报价和一个最低报价后的算术平均值。若有效磋商少于五家（含五家），则以所有有效磋商的磋商报价的算术平均值为基准价。报价得分为：</w:t>
            </w:r>
          </w:p>
          <w:p w14:paraId="2CDBF014">
            <w:pPr>
              <w:spacing w:line="0" w:lineRule="atLeast"/>
              <w:ind w:left="1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（1）磋商报价低于基准价的,每低于1%扣0.1分；</w:t>
            </w:r>
          </w:p>
          <w:p w14:paraId="1B67719D">
            <w:pPr>
              <w:spacing w:line="0" w:lineRule="atLeast"/>
              <w:ind w:left="1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该项记分公式为：K=30-｛(Q-q)/Q｝×100×0.1(0≤K≤30)</w:t>
            </w:r>
          </w:p>
          <w:p w14:paraId="6B2EE42F">
            <w:pPr>
              <w:spacing w:line="0" w:lineRule="atLeast"/>
              <w:ind w:left="1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（2）磋商报价高于基准价的,每高于1%扣0.2分。</w:t>
            </w:r>
          </w:p>
          <w:p w14:paraId="3BBF1C5A">
            <w:pPr>
              <w:spacing w:line="0" w:lineRule="atLeast"/>
              <w:ind w:left="1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该项记分公式为：K=30+｛(Q-q)/Q｝×100×0.2(0≤K≤30)</w:t>
            </w:r>
          </w:p>
          <w:p w14:paraId="005EBE02">
            <w:pPr>
              <w:spacing w:line="0" w:lineRule="atLeast"/>
              <w:ind w:left="100"/>
              <w:jc w:val="left"/>
              <w:rPr>
                <w:rFonts w:ascii="宋体" w:hAnsi="宋体"/>
                <w:b/>
                <w:color w:val="auto"/>
                <w:w w:val="97"/>
                <w:sz w:val="24"/>
                <w:szCs w:val="24"/>
                <w:highlight w:val="none"/>
              </w:rPr>
            </w:pPr>
            <w:r>
              <w:rPr>
                <w:rFonts w:hint="eastAsia" w:ascii="宋体" w:hAnsi="宋体" w:eastAsia="宋体" w:cs="Times New Roman"/>
                <w:color w:val="auto"/>
                <w:sz w:val="24"/>
                <w:szCs w:val="24"/>
                <w:highlight w:val="none"/>
              </w:rPr>
              <w:t>以上公式中: K——报价得分， q——磋商报价,Q——基准价（按四舍五入原则精确到小数点后两位）</w:t>
            </w:r>
          </w:p>
        </w:tc>
        <w:tc>
          <w:tcPr>
            <w:tcW w:w="867" w:type="dxa"/>
            <w:noWrap w:val="0"/>
            <w:vAlign w:val="center"/>
          </w:tcPr>
          <w:p w14:paraId="5BC1740D">
            <w:pPr>
              <w:spacing w:line="0" w:lineRule="atLeast"/>
              <w:jc w:val="center"/>
              <w:rPr>
                <w:rFonts w:hint="default" w:ascii="宋体" w:hAnsi="宋体"/>
                <w:color w:val="auto"/>
                <w:sz w:val="24"/>
                <w:szCs w:val="24"/>
                <w:highlight w:val="none"/>
                <w:lang w:val="en-US"/>
              </w:rPr>
            </w:pPr>
            <w:r>
              <w:rPr>
                <w:rFonts w:hint="eastAsia" w:ascii="宋体" w:hAnsi="宋体"/>
                <w:color w:val="auto"/>
                <w:sz w:val="24"/>
                <w:szCs w:val="24"/>
                <w:highlight w:val="none"/>
                <w:lang w:val="en-US" w:eastAsia="zh-CN"/>
              </w:rPr>
              <w:t>40</w:t>
            </w:r>
          </w:p>
        </w:tc>
      </w:tr>
      <w:tr w14:paraId="5E90B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897" w:type="dxa"/>
            <w:gridSpan w:val="3"/>
            <w:noWrap w:val="0"/>
            <w:vAlign w:val="center"/>
          </w:tcPr>
          <w:p w14:paraId="492F5C85">
            <w:pPr>
              <w:spacing w:line="263" w:lineRule="exact"/>
              <w:ind w:left="100" w:leftChars="0"/>
              <w:jc w:val="center"/>
              <w:rPr>
                <w:rFonts w:hint="eastAsia" w:ascii="宋体" w:hAnsi="宋体"/>
                <w:color w:val="auto"/>
                <w:kern w:val="2"/>
                <w:sz w:val="24"/>
                <w:szCs w:val="24"/>
                <w:highlight w:val="none"/>
                <w:lang w:val="en-US" w:eastAsia="zh-CN" w:bidi="ar-SA"/>
              </w:rPr>
            </w:pPr>
            <w:r>
              <w:rPr>
                <w:rFonts w:hint="eastAsia" w:ascii="宋体" w:hAnsi="宋体"/>
                <w:color w:val="auto"/>
                <w:sz w:val="24"/>
                <w:szCs w:val="24"/>
                <w:highlight w:val="none"/>
              </w:rPr>
              <w:t>总分</w:t>
            </w:r>
          </w:p>
        </w:tc>
        <w:tc>
          <w:tcPr>
            <w:tcW w:w="867" w:type="dxa"/>
            <w:noWrap w:val="0"/>
            <w:vAlign w:val="center"/>
          </w:tcPr>
          <w:p w14:paraId="77CDD1B3">
            <w:pPr>
              <w:spacing w:line="0" w:lineRule="atLeast"/>
              <w:jc w:val="center"/>
              <w:rPr>
                <w:rFonts w:hint="eastAsia" w:ascii="宋体" w:hAnsi="宋体"/>
                <w:color w:val="auto"/>
                <w:kern w:val="2"/>
                <w:sz w:val="24"/>
                <w:szCs w:val="24"/>
                <w:highlight w:val="none"/>
                <w:lang w:val="en-US" w:eastAsia="zh-CN" w:bidi="ar-SA"/>
              </w:rPr>
            </w:pPr>
            <w:r>
              <w:rPr>
                <w:rFonts w:hint="eastAsia" w:ascii="宋体" w:hAnsi="宋体"/>
                <w:color w:val="auto"/>
                <w:sz w:val="24"/>
                <w:szCs w:val="24"/>
                <w:highlight w:val="none"/>
              </w:rPr>
              <w:t>100</w:t>
            </w:r>
          </w:p>
        </w:tc>
      </w:tr>
    </w:tbl>
    <w:p w14:paraId="6EE956FF">
      <w:pPr>
        <w:spacing w:line="360" w:lineRule="auto"/>
        <w:rPr>
          <w:rFonts w:hint="eastAsia" w:ascii="宋体" w:hAnsi="宋体" w:cs="宋体"/>
          <w:b/>
          <w:bCs/>
          <w:color w:val="auto"/>
          <w:sz w:val="24"/>
          <w:szCs w:val="24"/>
          <w:highlight w:val="none"/>
          <w:shd w:val="clear" w:color="auto" w:fill="auto"/>
        </w:rPr>
      </w:pPr>
    </w:p>
    <w:p w14:paraId="050B8AA7">
      <w:pPr>
        <w:spacing w:line="340" w:lineRule="exact"/>
        <w:rPr>
          <w:rFonts w:hint="eastAsia" w:ascii="宋体" w:hAnsi="宋体" w:eastAsia="宋体" w:cs="Times New Roman"/>
          <w:sz w:val="32"/>
          <w:szCs w:val="32"/>
          <w:lang w:eastAsia="zh-CN"/>
        </w:rPr>
      </w:pPr>
    </w:p>
    <w:p w14:paraId="1E8653A1">
      <w:pPr>
        <w:spacing w:line="0" w:lineRule="atLeast"/>
        <w:ind w:firstLine="320" w:firstLineChars="100"/>
        <w:jc w:val="left"/>
        <w:rPr>
          <w:rFonts w:hint="eastAsia" w:ascii="仿宋_GB2312" w:hAnsi="仿宋_GB2312" w:eastAsia="仿宋_GB2312" w:cs="仿宋_GB2312"/>
          <w:color w:val="auto"/>
          <w:sz w:val="32"/>
          <w:szCs w:val="32"/>
          <w:highlight w:val="none"/>
        </w:rPr>
      </w:pPr>
      <w:bookmarkStart w:id="84" w:name="_Toc504984667"/>
      <w:r>
        <w:rPr>
          <w:rFonts w:hint="eastAsia" w:ascii="仿宋_GB2312" w:hAnsi="仿宋_GB2312" w:eastAsia="仿宋_GB2312" w:cs="仿宋_GB2312"/>
          <w:color w:val="auto"/>
          <w:sz w:val="32"/>
          <w:szCs w:val="32"/>
          <w:highlight w:val="none"/>
        </w:rPr>
        <w:t>计分办法</w:t>
      </w:r>
    </w:p>
    <w:p w14:paraId="3743CC9F">
      <w:pPr>
        <w:pStyle w:val="12"/>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磋商小组负责对评分进行复核和汇总。各项统计结果均精确到小数点后两位。</w:t>
      </w:r>
    </w:p>
    <w:p w14:paraId="0200504A">
      <w:pPr>
        <w:pStyle w:val="12"/>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各供应商的最终得分为各评审专家所评定分数之和的算术平均值。</w:t>
      </w:r>
    </w:p>
    <w:p w14:paraId="52352B45">
      <w:pPr>
        <w:pStyle w:val="12"/>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推荐成交供应商排序名单</w:t>
      </w:r>
    </w:p>
    <w:p w14:paraId="53516213">
      <w:pPr>
        <w:pStyle w:val="12"/>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（1）磋商小组将依据对各响应文件的评审结果对评分汇总情况进行复核，根据相关规定，按各供应商的最终得分由高到低的顺序向采购人推荐成交候选供应商排序，并形成书面的评审报告。</w:t>
      </w:r>
    </w:p>
    <w:p w14:paraId="6D10DB56">
      <w:pPr>
        <w:pStyle w:val="12"/>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（2）得分相同的供应商，按磋商报价由低到高顺序排列。得分且报价相同的，按技术指标优劣顺序排列。</w:t>
      </w:r>
    </w:p>
    <w:p w14:paraId="7922379C">
      <w:pPr>
        <w:pStyle w:val="12"/>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（3）采购人将组织采购结果确认，磋商工作组按照评审报告推荐的排名依次与供应商就项目合同中可变细节问题进行项目合同签署前的确认谈判。</w:t>
      </w:r>
    </w:p>
    <w:p w14:paraId="105C235D">
      <w:pPr>
        <w:spacing w:before="240" w:after="60"/>
        <w:outlineLvl w:val="0"/>
        <w:rPr>
          <w:rFonts w:hint="eastAsia" w:ascii="仿宋_GB2312" w:hAnsi="仿宋_GB2312" w:eastAsia="仿宋_GB2312" w:cs="仿宋_GB2312"/>
          <w:b/>
          <w:bCs/>
          <w:kern w:val="0"/>
          <w:sz w:val="32"/>
          <w:szCs w:val="32"/>
        </w:rPr>
      </w:pPr>
    </w:p>
    <w:p w14:paraId="3E0D2A8B">
      <w:pPr>
        <w:spacing w:before="240" w:after="60"/>
        <w:ind w:firstLine="3534" w:firstLineChars="1100"/>
        <w:outlineLvl w:val="0"/>
        <w:rPr>
          <w:rFonts w:hint="eastAsia" w:ascii="仿宋_GB2312" w:hAnsi="仿宋_GB2312" w:eastAsia="仿宋_GB2312" w:cs="仿宋_GB2312"/>
          <w:b/>
          <w:bCs/>
          <w:kern w:val="0"/>
          <w:sz w:val="32"/>
          <w:szCs w:val="32"/>
        </w:rPr>
      </w:pPr>
    </w:p>
    <w:p w14:paraId="7F2B33A8">
      <w:pPr>
        <w:spacing w:before="240" w:after="60"/>
        <w:ind w:firstLine="3534" w:firstLineChars="1100"/>
        <w:outlineLvl w:val="0"/>
        <w:rPr>
          <w:rFonts w:hint="eastAsia" w:ascii="仿宋_GB2312" w:hAnsi="仿宋_GB2312" w:eastAsia="仿宋_GB2312" w:cs="仿宋_GB2312"/>
          <w:b/>
          <w:bCs/>
          <w:kern w:val="0"/>
          <w:sz w:val="32"/>
          <w:szCs w:val="32"/>
        </w:rPr>
      </w:pPr>
    </w:p>
    <w:p w14:paraId="40BEBB8A">
      <w:pPr>
        <w:spacing w:before="240" w:after="60"/>
        <w:ind w:firstLine="3534" w:firstLineChars="1100"/>
        <w:outlineLvl w:val="0"/>
        <w:rPr>
          <w:rFonts w:hint="eastAsia" w:ascii="仿宋_GB2312" w:hAnsi="仿宋_GB2312" w:eastAsia="仿宋_GB2312" w:cs="仿宋_GB2312"/>
          <w:b/>
          <w:bCs/>
          <w:kern w:val="0"/>
          <w:sz w:val="32"/>
          <w:szCs w:val="32"/>
        </w:rPr>
      </w:pPr>
    </w:p>
    <w:bookmarkEnd w:id="84"/>
    <w:p w14:paraId="13567CC0">
      <w:pPr>
        <w:autoSpaceDE w:val="0"/>
        <w:autoSpaceDN w:val="0"/>
        <w:adjustRightInd w:val="0"/>
        <w:spacing w:before="16" w:line="360" w:lineRule="auto"/>
        <w:outlineLvl w:val="2"/>
        <w:rPr>
          <w:rFonts w:hint="eastAsia" w:ascii="仿宋_GB2312" w:hAnsi="仿宋_GB2312" w:eastAsia="仿宋_GB2312" w:cs="仿宋_GB2312"/>
          <w:b/>
          <w:sz w:val="32"/>
          <w:szCs w:val="32"/>
        </w:rPr>
      </w:pPr>
    </w:p>
    <w:p w14:paraId="55D8D8F0">
      <w:pPr>
        <w:rPr>
          <w:rFonts w:hint="eastAsia" w:ascii="仿宋_GB2312" w:hAnsi="仿宋_GB2312" w:eastAsia="仿宋_GB2312" w:cs="仿宋_GB2312"/>
          <w:sz w:val="32"/>
          <w:szCs w:val="32"/>
        </w:rPr>
        <w:sectPr>
          <w:footerReference r:id="rId5" w:type="first"/>
          <w:headerReference r:id="rId3" w:type="default"/>
          <w:footerReference r:id="rId4" w:type="default"/>
          <w:pgSz w:w="11906" w:h="16838"/>
          <w:pgMar w:top="1418" w:right="1555" w:bottom="1418" w:left="1531" w:header="851" w:footer="992" w:gutter="0"/>
          <w:cols w:space="720" w:num="1"/>
          <w:titlePg/>
          <w:docGrid w:type="lines" w:linePitch="312" w:charSpace="0"/>
        </w:sectPr>
      </w:pPr>
    </w:p>
    <w:p w14:paraId="5D370C47">
      <w:pPr>
        <w:spacing w:before="240" w:after="60"/>
        <w:jc w:val="center"/>
        <w:outlineLvl w:val="0"/>
        <w:rPr>
          <w:rFonts w:ascii="Cambria" w:hAnsi="Cambria" w:cs="Times New Roman"/>
          <w:b/>
          <w:bCs/>
          <w:kern w:val="0"/>
          <w:sz w:val="44"/>
          <w:szCs w:val="44"/>
        </w:rPr>
      </w:pPr>
      <w:bookmarkStart w:id="85" w:name="_Toc504984668"/>
      <w:r>
        <w:rPr>
          <w:rFonts w:hint="eastAsia" w:ascii="Cambria" w:hAnsi="Cambria" w:cs="Times New Roman"/>
          <w:b/>
          <w:bCs/>
          <w:kern w:val="0"/>
          <w:sz w:val="44"/>
          <w:szCs w:val="44"/>
        </w:rPr>
        <w:t>第四章  合同条款及格式</w:t>
      </w:r>
    </w:p>
    <w:p w14:paraId="0981B9F1">
      <w:pPr>
        <w:autoSpaceDE w:val="0"/>
        <w:autoSpaceDN w:val="0"/>
        <w:adjustRightInd w:val="0"/>
        <w:snapToGrid w:val="0"/>
        <w:spacing w:line="360" w:lineRule="auto"/>
        <w:jc w:val="left"/>
        <w:outlineLvl w:val="1"/>
        <w:rPr>
          <w:rFonts w:ascii="仿宋_GB2312" w:eastAsia="仿宋_GB2312" w:cs="Times New Roman"/>
          <w:b/>
          <w:spacing w:val="1"/>
          <w:w w:val="99"/>
          <w:sz w:val="28"/>
          <w:szCs w:val="20"/>
        </w:rPr>
      </w:pPr>
    </w:p>
    <w:p w14:paraId="0E153986">
      <w:pPr>
        <w:keepNext w:val="0"/>
        <w:keepLines w:val="0"/>
        <w:pageBreakBefore w:val="0"/>
        <w:kinsoku/>
        <w:wordWrap/>
        <w:overflowPunct/>
        <w:topLinePunct w:val="0"/>
        <w:autoSpaceDE w:val="0"/>
        <w:autoSpaceDN w:val="0"/>
        <w:bidi w:val="0"/>
        <w:adjustRightInd w:val="0"/>
        <w:snapToGrid w:val="0"/>
        <w:spacing w:line="560" w:lineRule="exact"/>
        <w:ind w:firstLine="3081" w:firstLineChars="1100"/>
        <w:jc w:val="left"/>
        <w:outlineLvl w:val="1"/>
        <w:rPr>
          <w:rFonts w:cs="Times New Roman" w:asciiTheme="minorEastAsia" w:hAnsiTheme="minorEastAsia" w:eastAsiaTheme="minorEastAsia"/>
          <w:b/>
          <w:spacing w:val="1"/>
          <w:w w:val="99"/>
          <w:sz w:val="44"/>
          <w:szCs w:val="44"/>
        </w:rPr>
      </w:pPr>
      <w:r>
        <w:rPr>
          <w:rFonts w:hint="eastAsia" w:ascii="仿宋_GB2312" w:eastAsia="仿宋_GB2312" w:cs="Times New Roman"/>
          <w:b/>
          <w:spacing w:val="1"/>
          <w:w w:val="99"/>
          <w:sz w:val="28"/>
          <w:szCs w:val="20"/>
        </w:rPr>
        <w:t xml:space="preserve"> </w:t>
      </w:r>
      <w:r>
        <w:rPr>
          <w:rFonts w:hint="eastAsia" w:cs="Times New Roman" w:asciiTheme="minorEastAsia" w:hAnsiTheme="minorEastAsia" w:eastAsiaTheme="minorEastAsia"/>
          <w:b/>
          <w:spacing w:val="1"/>
          <w:w w:val="99"/>
          <w:sz w:val="44"/>
          <w:szCs w:val="44"/>
        </w:rPr>
        <w:t>合同协议书</w:t>
      </w:r>
      <w:bookmarkEnd w:id="85"/>
    </w:p>
    <w:p w14:paraId="0AC4B52F">
      <w:pPr>
        <w:keepNext w:val="0"/>
        <w:keepLines w:val="0"/>
        <w:pageBreakBefore w:val="0"/>
        <w:tabs>
          <w:tab w:val="center" w:pos="4153"/>
          <w:tab w:val="right" w:pos="8306"/>
        </w:tabs>
        <w:kinsoku/>
        <w:wordWrap/>
        <w:overflowPunct/>
        <w:topLinePunct w:val="0"/>
        <w:bidi w:val="0"/>
        <w:snapToGrid w:val="0"/>
        <w:spacing w:line="560" w:lineRule="exact"/>
        <w:jc w:val="left"/>
        <w:rPr>
          <w:rFonts w:hint="eastAsia" w:cs="Times New Roman"/>
          <w:sz w:val="18"/>
          <w:szCs w:val="20"/>
        </w:rPr>
      </w:pPr>
    </w:p>
    <w:p w14:paraId="237862D8">
      <w:pPr>
        <w:keepNext w:val="0"/>
        <w:keepLines w:val="0"/>
        <w:pageBreakBefore w:val="0"/>
        <w:kinsoku/>
        <w:wordWrap/>
        <w:overflowPunct/>
        <w:topLinePunct w:val="0"/>
        <w:bidi w:val="0"/>
        <w:spacing w:line="560" w:lineRule="exact"/>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 xml:space="preserve">甲方（全称）：  </w:t>
      </w:r>
      <w:r>
        <w:rPr>
          <w:rFonts w:hint="eastAsia" w:ascii="仿宋_GB2312" w:hAnsi="仿宋_GB2312" w:eastAsia="仿宋_GB2312" w:cs="仿宋_GB2312"/>
          <w:b/>
          <w:color w:val="000000"/>
          <w:sz w:val="28"/>
          <w:szCs w:val="28"/>
          <w:lang w:eastAsia="zh-CN"/>
        </w:rPr>
        <w:t>襄阳市第三中学</w:t>
      </w:r>
      <w:r>
        <w:rPr>
          <w:rFonts w:hint="eastAsia" w:ascii="仿宋_GB2312" w:hAnsi="仿宋_GB2312" w:eastAsia="仿宋_GB2312" w:cs="仿宋_GB2312"/>
          <w:b/>
          <w:color w:val="000000"/>
          <w:sz w:val="28"/>
          <w:szCs w:val="28"/>
        </w:rPr>
        <w:t xml:space="preserve">               </w:t>
      </w:r>
    </w:p>
    <w:p w14:paraId="32B1A9EE">
      <w:pPr>
        <w:keepNext w:val="0"/>
        <w:keepLines w:val="0"/>
        <w:pageBreakBefore w:val="0"/>
        <w:kinsoku/>
        <w:wordWrap/>
        <w:overflowPunct/>
        <w:topLinePunct w:val="0"/>
        <w:bidi w:val="0"/>
        <w:spacing w:line="560" w:lineRule="exact"/>
        <w:rPr>
          <w:rFonts w:hint="eastAsia" w:ascii="仿宋_GB2312" w:hAnsi="仿宋_GB2312" w:eastAsia="仿宋_GB2312" w:cs="仿宋_GB2312"/>
          <w:b/>
          <w:color w:val="000000"/>
          <w:sz w:val="28"/>
          <w:szCs w:val="28"/>
          <w:u w:val="single"/>
        </w:rPr>
      </w:pPr>
      <w:r>
        <w:rPr>
          <w:rFonts w:hint="eastAsia" w:ascii="仿宋_GB2312" w:hAnsi="仿宋_GB2312" w:eastAsia="仿宋_GB2312" w:cs="仿宋_GB2312"/>
          <w:b/>
          <w:color w:val="000000"/>
          <w:sz w:val="28"/>
          <w:szCs w:val="28"/>
        </w:rPr>
        <w:t>乙方（全称）：</w:t>
      </w:r>
      <w:r>
        <w:rPr>
          <w:rFonts w:hint="eastAsia" w:ascii="仿宋_GB2312" w:hAnsi="仿宋_GB2312" w:eastAsia="仿宋_GB2312" w:cs="仿宋_GB2312"/>
          <w:b/>
          <w:color w:val="000000"/>
          <w:sz w:val="28"/>
          <w:szCs w:val="28"/>
          <w:u w:val="single"/>
        </w:rPr>
        <w:t xml:space="preserve">                                  </w:t>
      </w:r>
    </w:p>
    <w:p w14:paraId="7F3D2386">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jc w:val="left"/>
        <w:textAlignment w:val="baseline"/>
        <w:rPr>
          <w:rStyle w:val="9"/>
          <w:rFonts w:ascii="宋体" w:hAnsi="宋体" w:eastAsia="宋体"/>
          <w:b w:val="0"/>
          <w:i w:val="0"/>
          <w:caps w:val="0"/>
          <w:spacing w:val="0"/>
          <w:w w:val="100"/>
          <w:kern w:val="0"/>
          <w:sz w:val="32"/>
          <w:szCs w:val="32"/>
          <w:lang w:val="en-US" w:eastAsia="zh-CN" w:bidi="ar-SA"/>
        </w:rPr>
      </w:pPr>
      <w:r>
        <w:rPr>
          <w:rFonts w:hint="eastAsia" w:ascii="仿宋_GB2312" w:hAnsi="仿宋_GB2312" w:eastAsia="仿宋_GB2312" w:cs="仿宋_GB2312"/>
          <w:bCs/>
          <w:color w:val="000000"/>
          <w:kern w:val="2"/>
          <w:sz w:val="28"/>
          <w:szCs w:val="28"/>
          <w:lang w:val="en-US" w:eastAsia="zh-CN" w:bidi="ar-SA"/>
        </w:rPr>
        <w:t>为明确甲乙双方的权利义务，依照《中华人民共和国合同法》、《襄阳市绿化条例》及其他有关法律、法规的规定，遵循平等、自愿、公平和诚实信用的原则，双方就襄阳市三中园林绿化养护管理项目的事宜协商一致，订立本协议草案。</w:t>
      </w:r>
    </w:p>
    <w:p w14:paraId="7C8453E6">
      <w:pPr>
        <w:keepNext w:val="0"/>
        <w:keepLines w:val="0"/>
        <w:pageBreakBefore w:val="0"/>
        <w:kinsoku/>
        <w:wordWrap/>
        <w:overflowPunct/>
        <w:topLinePunct w:val="0"/>
        <w:bidi w:val="0"/>
        <w:spacing w:line="56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b/>
          <w:color w:val="000000"/>
          <w:sz w:val="28"/>
          <w:szCs w:val="28"/>
        </w:rPr>
        <w:t>一</w:t>
      </w:r>
      <w:r>
        <w:rPr>
          <w:rFonts w:hint="eastAsia" w:ascii="仿宋_GB2312" w:hAnsi="仿宋_GB2312" w:eastAsia="仿宋_GB2312" w:cs="仿宋_GB2312"/>
          <w:b/>
          <w:color w:val="000000"/>
          <w:sz w:val="28"/>
          <w:szCs w:val="28"/>
          <w:lang w:eastAsia="zh-CN"/>
        </w:rPr>
        <w:t>、</w:t>
      </w:r>
      <w:r>
        <w:rPr>
          <w:rFonts w:hint="eastAsia" w:ascii="仿宋_GB2312" w:hAnsi="仿宋_GB2312" w:eastAsia="仿宋_GB2312" w:cs="仿宋_GB2312"/>
          <w:b/>
          <w:color w:val="000000"/>
          <w:sz w:val="28"/>
          <w:szCs w:val="28"/>
        </w:rPr>
        <w:t>工程概况</w:t>
      </w:r>
    </w:p>
    <w:p w14:paraId="0FD82DAD">
      <w:pPr>
        <w:keepNext w:val="0"/>
        <w:keepLines w:val="0"/>
        <w:pageBreakBefore w:val="0"/>
        <w:kinsoku/>
        <w:wordWrap/>
        <w:overflowPunct/>
        <w:topLinePunct w:val="0"/>
        <w:bidi w:val="0"/>
        <w:spacing w:line="560" w:lineRule="exact"/>
        <w:ind w:firstLine="548" w:firstLineChars="196"/>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bCs/>
          <w:color w:val="000000"/>
          <w:sz w:val="28"/>
          <w:szCs w:val="28"/>
        </w:rPr>
        <w:t>1.</w:t>
      </w:r>
      <w:r>
        <w:rPr>
          <w:rFonts w:hint="eastAsia" w:ascii="仿宋_GB2312" w:hAnsi="仿宋_GB2312" w:eastAsia="仿宋_GB2312" w:cs="仿宋_GB2312"/>
          <w:bCs/>
          <w:color w:val="000000"/>
          <w:sz w:val="28"/>
          <w:szCs w:val="28"/>
          <w:lang w:eastAsia="zh-CN"/>
        </w:rPr>
        <w:t>项目</w:t>
      </w:r>
      <w:r>
        <w:rPr>
          <w:rFonts w:hint="eastAsia" w:ascii="仿宋_GB2312" w:hAnsi="仿宋_GB2312" w:eastAsia="仿宋_GB2312" w:cs="仿宋_GB2312"/>
          <w:bCs/>
          <w:color w:val="000000"/>
          <w:sz w:val="28"/>
          <w:szCs w:val="28"/>
        </w:rPr>
        <w:t>名称</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襄阳市第三中学校园</w:t>
      </w:r>
      <w:r>
        <w:rPr>
          <w:rFonts w:hint="eastAsia" w:ascii="仿宋_GB2312" w:hAnsi="仿宋_GB2312" w:eastAsia="仿宋_GB2312" w:cs="仿宋_GB2312"/>
          <w:bCs/>
          <w:sz w:val="28"/>
          <w:szCs w:val="28"/>
        </w:rPr>
        <w:t>绿化养护</w:t>
      </w:r>
      <w:r>
        <w:rPr>
          <w:rFonts w:hint="eastAsia" w:ascii="仿宋_GB2312" w:hAnsi="仿宋_GB2312" w:eastAsia="仿宋_GB2312" w:cs="仿宋_GB2312"/>
          <w:color w:val="000000"/>
          <w:sz w:val="28"/>
          <w:szCs w:val="28"/>
        </w:rPr>
        <w:t>。</w:t>
      </w:r>
    </w:p>
    <w:p w14:paraId="2E74806A">
      <w:pPr>
        <w:keepNext w:val="0"/>
        <w:keepLines w:val="0"/>
        <w:pageBreakBefore w:val="0"/>
        <w:kinsoku/>
        <w:wordWrap/>
        <w:overflowPunct/>
        <w:topLinePunct w:val="0"/>
        <w:bidi w:val="0"/>
        <w:spacing w:line="560" w:lineRule="exact"/>
        <w:ind w:firstLine="548" w:firstLineChars="196"/>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2.</w:t>
      </w:r>
      <w:r>
        <w:rPr>
          <w:rFonts w:hint="eastAsia" w:ascii="仿宋_GB2312" w:hAnsi="仿宋_GB2312" w:eastAsia="仿宋_GB2312" w:cs="仿宋_GB2312"/>
          <w:bCs/>
          <w:color w:val="000000"/>
          <w:sz w:val="28"/>
          <w:szCs w:val="28"/>
          <w:lang w:eastAsia="zh-CN"/>
        </w:rPr>
        <w:t>项目</w:t>
      </w:r>
      <w:r>
        <w:rPr>
          <w:rFonts w:hint="eastAsia" w:ascii="仿宋_GB2312" w:hAnsi="仿宋_GB2312" w:eastAsia="仿宋_GB2312" w:cs="仿宋_GB2312"/>
          <w:bCs/>
          <w:color w:val="000000"/>
          <w:sz w:val="28"/>
          <w:szCs w:val="28"/>
        </w:rPr>
        <w:t>地点：</w:t>
      </w:r>
      <w:r>
        <w:rPr>
          <w:rFonts w:hint="eastAsia" w:ascii="仿宋_GB2312" w:hAnsi="仿宋_GB2312" w:eastAsia="仿宋_GB2312" w:cs="仿宋_GB2312"/>
          <w:snapToGrid w:val="0"/>
          <w:sz w:val="28"/>
          <w:szCs w:val="28"/>
        </w:rPr>
        <w:t>湖北省襄阳市</w:t>
      </w:r>
      <w:r>
        <w:rPr>
          <w:rFonts w:hint="eastAsia" w:ascii="仿宋_GB2312" w:hAnsi="仿宋_GB2312" w:eastAsia="仿宋_GB2312" w:cs="仿宋_GB2312"/>
          <w:snapToGrid w:val="0"/>
          <w:sz w:val="28"/>
          <w:szCs w:val="28"/>
          <w:lang w:eastAsia="zh-CN"/>
        </w:rPr>
        <w:t>东津新区楚山路</w:t>
      </w:r>
      <w:r>
        <w:rPr>
          <w:rFonts w:hint="eastAsia" w:ascii="仿宋_GB2312" w:hAnsi="仿宋_GB2312" w:eastAsia="仿宋_GB2312" w:cs="仿宋_GB2312"/>
          <w:snapToGrid w:val="0"/>
          <w:sz w:val="28"/>
          <w:szCs w:val="28"/>
          <w:lang w:val="en-US" w:eastAsia="zh-CN"/>
        </w:rPr>
        <w:t>16号</w:t>
      </w:r>
      <w:r>
        <w:rPr>
          <w:rFonts w:hint="eastAsia" w:ascii="仿宋_GB2312" w:hAnsi="仿宋_GB2312" w:eastAsia="仿宋_GB2312" w:cs="仿宋_GB2312"/>
          <w:color w:val="000000"/>
          <w:sz w:val="28"/>
          <w:szCs w:val="28"/>
        </w:rPr>
        <w:t>。</w:t>
      </w:r>
    </w:p>
    <w:p w14:paraId="3AF9FF5A">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3</w:t>
      </w: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rPr>
        <w:t>工程内容及承包范围：</w:t>
      </w:r>
    </w:p>
    <w:p w14:paraId="78F1870C">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jc w:val="left"/>
        <w:textAlignment w:val="baseline"/>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kern w:val="2"/>
          <w:sz w:val="28"/>
          <w:szCs w:val="28"/>
          <w:lang w:val="en-US" w:eastAsia="zh-CN" w:bidi="ar-SA"/>
        </w:rPr>
        <w:t>去除枯死植株、树木扶正、病虫害监测、浇灌排水、土壤施肥、中耕除草、有偿花坛花境布置、地被覆盖、植物（树木、绿篱、草坪等）修剪、定时清理绿地内落叶、油石灰水（刷白）、绿化垃圾清运到指定位置、植物防护（防寒、旱、台、涝、高温等）、水体植物养护。包括但不仅限于：</w:t>
      </w:r>
    </w:p>
    <w:p w14:paraId="3E8EF1B5">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①浇水：根据不同植物的特性和气候状况，合理安排浇水的频率和水量，确保植物水分充足但又不过量积水。</w:t>
      </w:r>
    </w:p>
    <w:p w14:paraId="3117A990">
      <w:pPr>
        <w:keepNext w:val="0"/>
        <w:keepLines w:val="0"/>
        <w:pageBreakBefore w:val="0"/>
        <w:widowControl/>
        <w:kinsoku/>
        <w:wordWrap/>
        <w:overflowPunct/>
        <w:topLinePunct w:val="0"/>
        <w:bidi w:val="0"/>
        <w:adjustRightInd w:val="0"/>
        <w:snapToGrid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②施肥：选用适宜的肥料种类，并按照规定的时间和剂量进行施放，以促进植物的健康生长。</w:t>
      </w:r>
    </w:p>
    <w:p w14:paraId="5D51B3AF">
      <w:pPr>
        <w:keepNext w:val="0"/>
        <w:keepLines w:val="0"/>
        <w:pageBreakBefore w:val="0"/>
        <w:widowControl/>
        <w:kinsoku/>
        <w:wordWrap/>
        <w:overflowPunct/>
        <w:topLinePunct w:val="0"/>
        <w:bidi w:val="0"/>
        <w:adjustRightInd w:val="0"/>
        <w:snapToGrid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③修剪：乔木保持形态优美，灌木修剪整齐，及时去除徒长枝、病弱枝等</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草地</w:t>
      </w:r>
      <w:r>
        <w:rPr>
          <w:rFonts w:hint="eastAsia" w:ascii="仿宋_GB2312" w:hAnsi="仿宋_GB2312" w:eastAsia="仿宋_GB2312" w:cs="仿宋_GB2312"/>
          <w:sz w:val="28"/>
          <w:szCs w:val="28"/>
        </w:rPr>
        <w:t>保持统一高度，整齐美观。</w:t>
      </w:r>
    </w:p>
    <w:p w14:paraId="5D8B8757">
      <w:pPr>
        <w:keepNext w:val="0"/>
        <w:keepLines w:val="0"/>
        <w:pageBreakBefore w:val="0"/>
        <w:widowControl/>
        <w:kinsoku/>
        <w:wordWrap/>
        <w:overflowPunct/>
        <w:topLinePunct w:val="0"/>
        <w:bidi w:val="0"/>
        <w:adjustRightInd w:val="0"/>
        <w:snapToGrid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④除草及死树处理：保持草坪平整，无斑秃、杂草。死树及时移除补种。</w:t>
      </w:r>
    </w:p>
    <w:p w14:paraId="51437843">
      <w:pPr>
        <w:keepNext w:val="0"/>
        <w:keepLines w:val="0"/>
        <w:pageBreakBefore w:val="0"/>
        <w:widowControl/>
        <w:kinsoku/>
        <w:wordWrap/>
        <w:overflowPunct/>
        <w:topLinePunct w:val="0"/>
        <w:bidi w:val="0"/>
        <w:adjustRightInd w:val="0"/>
        <w:snapToGrid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⑤病虫害防治：及时发现并有效治理病虫害，确保植物健康生长。</w:t>
      </w:r>
    </w:p>
    <w:p w14:paraId="5D5B5587">
      <w:pPr>
        <w:keepNext w:val="0"/>
        <w:keepLines w:val="0"/>
        <w:pageBreakBefore w:val="0"/>
        <w:widowControl/>
        <w:kinsoku/>
        <w:wordWrap/>
        <w:overflowPunct/>
        <w:topLinePunct w:val="0"/>
        <w:bidi w:val="0"/>
        <w:adjustRightInd w:val="0"/>
        <w:snapToGrid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⑥松土：定期进行松土，增加土壤透气性。</w:t>
      </w:r>
    </w:p>
    <w:p w14:paraId="1D1DD5D5">
      <w:pPr>
        <w:keepNext w:val="0"/>
        <w:keepLines w:val="0"/>
        <w:pageBreakBefore w:val="0"/>
        <w:widowControl/>
        <w:kinsoku/>
        <w:wordWrap/>
        <w:overflowPunct/>
        <w:topLinePunct w:val="0"/>
        <w:bidi w:val="0"/>
        <w:adjustRightInd w:val="0"/>
        <w:snapToGrid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⑦其他特殊养护工作要求等：</w:t>
      </w:r>
    </w:p>
    <w:p w14:paraId="2C9AFA90">
      <w:pPr>
        <w:keepNext w:val="0"/>
        <w:keepLines w:val="0"/>
        <w:pageBreakBefore w:val="0"/>
        <w:kinsoku/>
        <w:wordWrap/>
        <w:overflowPunct/>
        <w:topLinePunct w:val="0"/>
        <w:bidi w:val="0"/>
        <w:spacing w:line="56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b/>
          <w:color w:val="000000"/>
          <w:sz w:val="28"/>
          <w:szCs w:val="28"/>
        </w:rPr>
        <w:t>二</w:t>
      </w:r>
      <w:r>
        <w:rPr>
          <w:rFonts w:hint="eastAsia" w:ascii="仿宋_GB2312" w:hAnsi="仿宋_GB2312" w:eastAsia="仿宋_GB2312" w:cs="仿宋_GB2312"/>
          <w:b/>
          <w:color w:val="000000"/>
          <w:sz w:val="28"/>
          <w:szCs w:val="28"/>
          <w:lang w:eastAsia="zh-CN"/>
        </w:rPr>
        <w:t>、</w:t>
      </w:r>
      <w:r>
        <w:rPr>
          <w:rFonts w:hint="eastAsia" w:ascii="仿宋_GB2312" w:hAnsi="仿宋_GB2312" w:eastAsia="仿宋_GB2312" w:cs="仿宋_GB2312"/>
          <w:b/>
          <w:color w:val="000000"/>
          <w:sz w:val="28"/>
          <w:szCs w:val="28"/>
        </w:rPr>
        <w:t>合同工期</w:t>
      </w:r>
    </w:p>
    <w:p w14:paraId="04AB84CF">
      <w:pPr>
        <w:keepNext w:val="0"/>
        <w:keepLines w:val="0"/>
        <w:pageBreakBefore w:val="0"/>
        <w:widowControl/>
        <w:kinsoku/>
        <w:wordWrap/>
        <w:overflowPunct/>
        <w:topLinePunct w:val="0"/>
        <w:bidi w:val="0"/>
        <w:adjustRightInd w:val="0"/>
        <w:snapToGrid w:val="0"/>
        <w:spacing w:line="560" w:lineRule="exact"/>
        <w:ind w:left="279" w:leftChars="133"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养护期限为12个月，自</w:t>
      </w:r>
      <w:r>
        <w:rPr>
          <w:rFonts w:hint="eastAsia" w:ascii="仿宋_GB2312" w:hAnsi="仿宋_GB2312" w:eastAsia="仿宋_GB2312" w:cs="仿宋_GB2312"/>
          <w:sz w:val="28"/>
          <w:szCs w:val="28"/>
          <w:u w:val="single"/>
          <w:lang w:val="en-US" w:eastAsia="zh-CN"/>
        </w:rPr>
        <w:t xml:space="preserve">     年  月   日</w:t>
      </w:r>
      <w:r>
        <w:rPr>
          <w:rFonts w:hint="eastAsia" w:ascii="仿宋_GB2312" w:hAnsi="仿宋_GB2312" w:eastAsia="仿宋_GB2312" w:cs="仿宋_GB2312"/>
          <w:sz w:val="28"/>
          <w:szCs w:val="28"/>
          <w:lang w:val="en-US" w:eastAsia="zh-CN"/>
        </w:rPr>
        <w:t>起至</w:t>
      </w:r>
      <w:r>
        <w:rPr>
          <w:rFonts w:hint="eastAsia" w:ascii="仿宋_GB2312" w:hAnsi="仿宋_GB2312" w:eastAsia="仿宋_GB2312" w:cs="仿宋_GB2312"/>
          <w:sz w:val="28"/>
          <w:szCs w:val="28"/>
          <w:u w:val="single"/>
          <w:lang w:val="en-US" w:eastAsia="zh-CN"/>
        </w:rPr>
        <w:t xml:space="preserve">    年</w:t>
      </w:r>
      <w:r>
        <w:rPr>
          <w:rFonts w:hint="default"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lang w:val="en-US" w:eastAsia="zh-CN"/>
        </w:rPr>
        <w:t>月</w:t>
      </w:r>
      <w:r>
        <w:rPr>
          <w:rFonts w:hint="default"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lang w:val="en-US" w:eastAsia="zh-CN"/>
        </w:rPr>
        <w:t>日</w:t>
      </w:r>
      <w:r>
        <w:rPr>
          <w:rFonts w:hint="eastAsia" w:ascii="仿宋_GB2312" w:hAnsi="仿宋_GB2312" w:eastAsia="仿宋_GB2312" w:cs="仿宋_GB2312"/>
          <w:sz w:val="28"/>
          <w:szCs w:val="28"/>
          <w:lang w:val="en-US" w:eastAsia="zh-CN"/>
        </w:rPr>
        <w:t>止。</w:t>
      </w:r>
    </w:p>
    <w:p w14:paraId="43949488">
      <w:pPr>
        <w:keepNext w:val="0"/>
        <w:keepLines w:val="0"/>
        <w:pageBreakBefore w:val="0"/>
        <w:kinsoku/>
        <w:wordWrap/>
        <w:overflowPunct/>
        <w:topLinePunct w:val="0"/>
        <w:bidi w:val="0"/>
        <w:spacing w:line="560" w:lineRule="exact"/>
        <w:rPr>
          <w:rFonts w:hint="eastAsia" w:ascii="仿宋_GB2312" w:hAnsi="仿宋_GB2312" w:eastAsia="仿宋_GB2312" w:cs="仿宋_GB2312"/>
          <w:b/>
          <w:color w:val="000000"/>
          <w:sz w:val="28"/>
          <w:szCs w:val="28"/>
          <w:lang w:val="en-US" w:eastAsia="zh-CN"/>
        </w:rPr>
      </w:pPr>
      <w:r>
        <w:rPr>
          <w:rFonts w:hint="eastAsia" w:ascii="仿宋_GB2312" w:hAnsi="仿宋_GB2312" w:eastAsia="仿宋_GB2312" w:cs="仿宋_GB2312"/>
          <w:b/>
          <w:color w:val="000000"/>
          <w:sz w:val="28"/>
          <w:szCs w:val="28"/>
        </w:rPr>
        <w:t>三</w:t>
      </w:r>
      <w:r>
        <w:rPr>
          <w:rFonts w:hint="eastAsia" w:ascii="仿宋_GB2312" w:hAnsi="仿宋_GB2312" w:eastAsia="仿宋_GB2312" w:cs="仿宋_GB2312"/>
          <w:b/>
          <w:color w:val="000000"/>
          <w:sz w:val="28"/>
          <w:szCs w:val="28"/>
          <w:lang w:eastAsia="zh-CN"/>
        </w:rPr>
        <w:t>、</w:t>
      </w:r>
      <w:r>
        <w:rPr>
          <w:rFonts w:hint="eastAsia" w:ascii="仿宋_GB2312" w:hAnsi="仿宋_GB2312" w:eastAsia="仿宋_GB2312" w:cs="仿宋_GB2312"/>
          <w:b/>
          <w:color w:val="000000"/>
          <w:sz w:val="28"/>
          <w:szCs w:val="28"/>
          <w:lang w:val="en-US" w:eastAsia="zh-CN"/>
        </w:rPr>
        <w:t>养护质量和考核</w:t>
      </w:r>
    </w:p>
    <w:p w14:paraId="39E95D17">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养护质量必须达到《园林绿化养护技术等级标准》及以下标准。</w:t>
      </w:r>
    </w:p>
    <w:p w14:paraId="2A672426">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1．养护标准</w:t>
      </w:r>
    </w:p>
    <w:p w14:paraId="2AE02F1D">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（1）生长正常。新建绿地各种植物生长健壮。</w:t>
      </w:r>
    </w:p>
    <w:p w14:paraId="59109EB5">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（2）园林树木树冠基本正常，修剪及时，无明显枯枝死叉。分枝点合适，枝条粗壮，行道树缺株率不超过1%，绿地内无死树。</w:t>
      </w:r>
    </w:p>
    <w:p w14:paraId="3990C163">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（3）落叶树新梢生长基本正常，叶片大小、颜色正常。正常条件下，黄叶、焦叶、卷叶和带虫粪、虫网叶片的株数不得超过10%，正常叶片保存率在85%以上。针叶树针叶宿存 1年以上，结果枝条不超过50%。</w:t>
      </w:r>
    </w:p>
    <w:p w14:paraId="268776A2">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（4）花坛、花带轮廊基本清晰、整齐美观、无残缺。</w:t>
      </w:r>
    </w:p>
    <w:p w14:paraId="0A92C288">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（5）草坪及地被植物整齐一致，覆盖率90%以上。除缀花草坪外，草坪内杂草率不得超过5%。草坪绿色期：冷季型草不得少于240天，暖季型草不得少于160天。</w:t>
      </w:r>
    </w:p>
    <w:p w14:paraId="0A9AEF26">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6）病虫害控制比较及时。园林树木有蛀干害虫危害的株数不得超过3%；园林树木主干、主枝上平均每100平方厘米介壳虫的活虫数不得超过3头，较细枝条上平均每30cm不得超过8头，且平均被害株数不得超过5%。虫食叶片每株不得超过8%。</w:t>
      </w:r>
    </w:p>
    <w:p w14:paraId="4EBF95D7">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（7）垂直绿化能根据不同植物的攀援特点，采取相应的技术措施，视攀摇植物生长习性，覆盖率不得低于70%。开花的攀援植物能适时开花。</w:t>
      </w:r>
    </w:p>
    <w:p w14:paraId="153B1F35">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（8）绿地基本完整，无明显堆物、堆料、搭棚、树干无钉拴刻划等现象。行道树下距树干2米范围内无明显的堆物、堆料、圈栏或搭棚设摊等影响树木生长和养护管理的现象。</w:t>
      </w:r>
    </w:p>
    <w:p w14:paraId="5D5635ED">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2．养护考核</w:t>
      </w:r>
    </w:p>
    <w:p w14:paraId="1F510FDD">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（1）乙方认真按照园林绿化行业的标准、规范、本合同的要求以及甲方代表人依据本合同发出的指令进行养护，随时接受甲方的检查。</w:t>
      </w:r>
    </w:p>
    <w:p w14:paraId="47918F76">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甲方可按照合同约定的时间、标准进行随机检查和定期考核，发现养护质量达不到约定标准的部分，甲方可要求乙方采取补种、更换、重做、修复等一切补救措施，直到符合约定标准。因乙方原因达不到约定标准，由乙方承担由于采取补救措施而产生的一切费用。</w:t>
      </w:r>
    </w:p>
    <w:p w14:paraId="34A6F47A">
      <w:pPr>
        <w:pStyle w:val="1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jc w:val="left"/>
        <w:textAlignment w:val="baseline"/>
        <w:rPr>
          <w:rFonts w:hint="eastAsia" w:ascii="仿宋_GB2312" w:hAnsi="仿宋_GB2312" w:eastAsia="仿宋_GB2312" w:cs="仿宋_GB2312"/>
          <w:color w:val="000000"/>
          <w:sz w:val="28"/>
          <w:szCs w:val="28"/>
        </w:rPr>
      </w:pPr>
      <w:r>
        <w:rPr>
          <w:rFonts w:hint="eastAsia" w:ascii="仿宋_GB2312" w:hAnsi="仿宋_GB2312" w:eastAsia="仿宋_GB2312" w:cs="仿宋_GB2312"/>
          <w:kern w:val="2"/>
          <w:sz w:val="28"/>
          <w:szCs w:val="28"/>
          <w:lang w:val="en-US" w:eastAsia="zh-CN" w:bidi="ar-SA"/>
        </w:rPr>
        <w:t>（3）因养护不当造成的绿化树木、花卉死亡或损坏由乙方无偿补种修复。若乙方认为造成绿化树木、花卉死亡或者损坏的责任不在乙方，由乙方承担举证责任。</w:t>
      </w:r>
    </w:p>
    <w:p w14:paraId="271875F3">
      <w:pPr>
        <w:keepNext w:val="0"/>
        <w:keepLines w:val="0"/>
        <w:pageBreakBefore w:val="0"/>
        <w:kinsoku/>
        <w:wordWrap/>
        <w:overflowPunct/>
        <w:topLinePunct w:val="0"/>
        <w:bidi w:val="0"/>
        <w:spacing w:line="56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b/>
          <w:color w:val="000000"/>
          <w:sz w:val="28"/>
          <w:szCs w:val="28"/>
        </w:rPr>
        <w:t>四</w:t>
      </w:r>
      <w:r>
        <w:rPr>
          <w:rFonts w:hint="eastAsia" w:ascii="仿宋_GB2312" w:hAnsi="仿宋_GB2312" w:eastAsia="仿宋_GB2312" w:cs="仿宋_GB2312"/>
          <w:b/>
          <w:color w:val="000000"/>
          <w:sz w:val="28"/>
          <w:szCs w:val="28"/>
          <w:lang w:eastAsia="zh-CN"/>
        </w:rPr>
        <w:t>、</w:t>
      </w:r>
      <w:r>
        <w:rPr>
          <w:rFonts w:hint="eastAsia" w:ascii="仿宋_GB2312" w:hAnsi="仿宋_GB2312" w:eastAsia="仿宋_GB2312" w:cs="仿宋_GB2312"/>
          <w:b/>
          <w:color w:val="000000"/>
          <w:sz w:val="28"/>
          <w:szCs w:val="28"/>
        </w:rPr>
        <w:t>签约合同价与</w:t>
      </w:r>
      <w:r>
        <w:rPr>
          <w:rFonts w:hint="eastAsia" w:ascii="仿宋_GB2312" w:hAnsi="仿宋_GB2312" w:eastAsia="仿宋_GB2312" w:cs="仿宋_GB2312"/>
          <w:b/>
          <w:color w:val="000000"/>
          <w:sz w:val="28"/>
          <w:szCs w:val="28"/>
          <w:lang w:eastAsia="zh-CN"/>
        </w:rPr>
        <w:t>支付</w:t>
      </w:r>
      <w:r>
        <w:rPr>
          <w:rFonts w:hint="eastAsia" w:ascii="仿宋_GB2312" w:hAnsi="仿宋_GB2312" w:eastAsia="仿宋_GB2312" w:cs="仿宋_GB2312"/>
          <w:b/>
          <w:color w:val="000000"/>
          <w:sz w:val="28"/>
          <w:szCs w:val="28"/>
        </w:rPr>
        <w:tab/>
      </w:r>
    </w:p>
    <w:p w14:paraId="0987990D">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1、合同价款及调整</w:t>
      </w:r>
    </w:p>
    <w:p w14:paraId="74567E12">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本养护项目，双方约定合同价款为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元/年 （大写：          ）</w:t>
      </w:r>
    </w:p>
    <w:p w14:paraId="0E7423B3">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2、支付方式</w:t>
      </w:r>
    </w:p>
    <w:p w14:paraId="063D6F26">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本养护项目，按月支付，乙方开具发票。每个支付期金额为</w:t>
      </w:r>
      <w:r>
        <w:rPr>
          <w:rFonts w:hint="eastAsia" w:ascii="仿宋_GB2312" w:hAnsi="仿宋_GB2312" w:eastAsia="仿宋_GB2312" w:cs="仿宋_GB2312"/>
          <w:sz w:val="28"/>
          <w:szCs w:val="28"/>
          <w:lang w:eastAsia="zh-CN"/>
        </w:rPr>
        <w:t>：</w:t>
      </w:r>
    </w:p>
    <w:p w14:paraId="7F953A29">
      <w:pPr>
        <w:keepNext w:val="0"/>
        <w:keepLines w:val="0"/>
        <w:pageBreakBefore w:val="0"/>
        <w:kinsoku/>
        <w:wordWrap/>
        <w:overflowPunct/>
        <w:topLinePunct w:val="0"/>
        <w:bidi w:val="0"/>
        <w:spacing w:line="5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元</w:t>
      </w:r>
      <w:r>
        <w:rPr>
          <w:rFonts w:hint="eastAsia" w:ascii="仿宋_GB2312" w:hAnsi="仿宋_GB2312" w:eastAsia="仿宋_GB2312" w:cs="仿宋_GB2312"/>
          <w:sz w:val="28"/>
          <w:szCs w:val="28"/>
        </w:rPr>
        <w:t>（大写</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 xml:space="preserve"> </w:t>
      </w:r>
    </w:p>
    <w:p w14:paraId="58787720">
      <w:pPr>
        <w:keepNext w:val="0"/>
        <w:keepLines w:val="0"/>
        <w:pageBreakBefore w:val="0"/>
        <w:kinsoku/>
        <w:wordWrap/>
        <w:overflowPunct/>
        <w:topLinePunct w:val="0"/>
        <w:bidi w:val="0"/>
        <w:spacing w:line="560" w:lineRule="exact"/>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b/>
          <w:color w:val="000000"/>
          <w:sz w:val="28"/>
          <w:szCs w:val="28"/>
        </w:rPr>
        <w:t>五</w:t>
      </w:r>
      <w:r>
        <w:rPr>
          <w:rFonts w:hint="eastAsia" w:ascii="仿宋_GB2312" w:hAnsi="仿宋_GB2312" w:eastAsia="仿宋_GB2312" w:cs="仿宋_GB2312"/>
          <w:b/>
          <w:color w:val="000000"/>
          <w:sz w:val="28"/>
          <w:szCs w:val="28"/>
          <w:lang w:eastAsia="zh-CN"/>
        </w:rPr>
        <w:t>、</w:t>
      </w:r>
      <w:r>
        <w:rPr>
          <w:rFonts w:hint="eastAsia" w:ascii="仿宋_GB2312" w:hAnsi="仿宋_GB2312" w:eastAsia="仿宋_GB2312" w:cs="仿宋_GB2312"/>
          <w:b/>
          <w:color w:val="000000"/>
          <w:sz w:val="28"/>
          <w:szCs w:val="28"/>
        </w:rPr>
        <w:t>项目</w:t>
      </w:r>
      <w:r>
        <w:rPr>
          <w:rFonts w:hint="eastAsia" w:ascii="仿宋_GB2312" w:hAnsi="仿宋_GB2312" w:eastAsia="仿宋_GB2312" w:cs="仿宋_GB2312"/>
          <w:b/>
          <w:color w:val="000000"/>
          <w:sz w:val="28"/>
          <w:szCs w:val="28"/>
          <w:lang w:eastAsia="zh-CN"/>
        </w:rPr>
        <w:t>负责人</w:t>
      </w:r>
    </w:p>
    <w:p w14:paraId="74E6B4D1">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承包人项目经理：</w:t>
      </w:r>
      <w:r>
        <w:rPr>
          <w:rFonts w:hint="eastAsia" w:ascii="仿宋_GB2312" w:hAnsi="仿宋_GB2312" w:eastAsia="仿宋_GB2312" w:cs="仿宋_GB2312"/>
          <w:color w:val="000000"/>
          <w:sz w:val="28"/>
          <w:szCs w:val="28"/>
          <w:u w:val="single"/>
        </w:rPr>
        <w:t xml:space="preserve">                        </w:t>
      </w:r>
      <w:r>
        <w:rPr>
          <w:rFonts w:hint="eastAsia" w:ascii="仿宋_GB2312" w:hAnsi="仿宋_GB2312" w:eastAsia="仿宋_GB2312" w:cs="仿宋_GB2312"/>
          <w:color w:val="000000"/>
          <w:sz w:val="28"/>
          <w:szCs w:val="28"/>
        </w:rPr>
        <w:t>。</w:t>
      </w:r>
    </w:p>
    <w:p w14:paraId="4DBC8065">
      <w:pPr>
        <w:keepNext w:val="0"/>
        <w:keepLines w:val="0"/>
        <w:pageBreakBefore w:val="0"/>
        <w:kinsoku/>
        <w:wordWrap/>
        <w:overflowPunct/>
        <w:topLinePunct w:val="0"/>
        <w:bidi w:val="0"/>
        <w:spacing w:line="560" w:lineRule="exact"/>
        <w:rPr>
          <w:rFonts w:hint="eastAsia" w:ascii="仿宋_GB2312" w:hAnsi="仿宋_GB2312" w:eastAsia="仿宋_GB2312" w:cs="仿宋_GB2312"/>
          <w:b/>
          <w:sz w:val="28"/>
          <w:szCs w:val="28"/>
        </w:rPr>
      </w:pPr>
      <w:r>
        <w:rPr>
          <w:rFonts w:hint="eastAsia" w:ascii="仿宋_GB2312" w:hAnsi="仿宋_GB2312" w:eastAsia="仿宋_GB2312" w:cs="仿宋_GB2312"/>
          <w:b/>
          <w:color w:val="000000"/>
          <w:sz w:val="28"/>
          <w:szCs w:val="28"/>
        </w:rPr>
        <w:t>六</w:t>
      </w:r>
      <w:r>
        <w:rPr>
          <w:rFonts w:hint="eastAsia" w:ascii="仿宋_GB2312" w:hAnsi="仿宋_GB2312" w:eastAsia="仿宋_GB2312" w:cs="仿宋_GB2312"/>
          <w:b/>
          <w:color w:val="000000"/>
          <w:sz w:val="28"/>
          <w:szCs w:val="28"/>
          <w:lang w:eastAsia="zh-CN"/>
        </w:rPr>
        <w:t>、</w:t>
      </w:r>
      <w:r>
        <w:rPr>
          <w:rFonts w:hint="eastAsia" w:ascii="仿宋_GB2312" w:hAnsi="仿宋_GB2312" w:eastAsia="仿宋_GB2312" w:cs="仿宋_GB2312"/>
          <w:b/>
          <w:sz w:val="28"/>
          <w:szCs w:val="28"/>
        </w:rPr>
        <w:t>双方责任</w:t>
      </w:r>
    </w:p>
    <w:p w14:paraId="150BD77A">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1.甲方责任:</w:t>
      </w:r>
    </w:p>
    <w:p w14:paraId="04E57469">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（1）甲方免费提供水源给乙方使用，但乙方必须按需使用，不能浪费。</w:t>
      </w:r>
    </w:p>
    <w:p w14:paraId="428C9FCD">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（2）甲方负责</w:t>
      </w:r>
      <w:r>
        <w:rPr>
          <w:rFonts w:hint="eastAsia" w:ascii="仿宋_GB2312" w:hAnsi="仿宋_GB2312" w:eastAsia="仿宋_GB2312" w:cs="仿宋_GB2312"/>
          <w:sz w:val="28"/>
          <w:szCs w:val="28"/>
          <w:lang w:eastAsia="zh-CN"/>
        </w:rPr>
        <w:t>校园</w:t>
      </w:r>
      <w:r>
        <w:rPr>
          <w:rFonts w:hint="eastAsia" w:ascii="仿宋_GB2312" w:hAnsi="仿宋_GB2312" w:eastAsia="仿宋_GB2312" w:cs="仿宋_GB2312"/>
          <w:sz w:val="28"/>
          <w:szCs w:val="28"/>
        </w:rPr>
        <w:t>内绿化带的治安工作，有义务禁止甲方员工或外来人员随意破坏厂区内的绿化树和草皮。</w:t>
      </w:r>
    </w:p>
    <w:p w14:paraId="10FF75B6">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（3）非乙方原因导致草皮、花、树木等被破坏，造成绿化植物死亡，补苗费用由甲方负责。</w:t>
      </w:r>
    </w:p>
    <w:p w14:paraId="518CA5CC">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（4）甲方有权力向乙方提供合理的工作建议。</w:t>
      </w:r>
    </w:p>
    <w:p w14:paraId="3348329B">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2.乙方责任:</w:t>
      </w:r>
    </w:p>
    <w:p w14:paraId="67484F74">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（1）乙方需每天保证至少派遣</w:t>
      </w:r>
      <w:r>
        <w:rPr>
          <w:rFonts w:hint="eastAsia" w:ascii="仿宋_GB2312" w:hAnsi="仿宋_GB2312" w:eastAsia="仿宋_GB2312" w:cs="仿宋_GB2312"/>
          <w:sz w:val="28"/>
          <w:szCs w:val="28"/>
          <w:lang w:val="en-US" w:eastAsia="zh-CN"/>
        </w:rPr>
        <w:t>四</w:t>
      </w:r>
      <w:r>
        <w:rPr>
          <w:rFonts w:hint="eastAsia" w:ascii="仿宋_GB2312" w:hAnsi="仿宋_GB2312" w:eastAsia="仿宋_GB2312" w:cs="仿宋_GB2312"/>
          <w:sz w:val="28"/>
          <w:szCs w:val="28"/>
        </w:rPr>
        <w:t>名</w:t>
      </w:r>
      <w:r>
        <w:rPr>
          <w:rFonts w:hint="eastAsia" w:ascii="仿宋_GB2312" w:hAnsi="仿宋_GB2312" w:eastAsia="仿宋_GB2312" w:cs="仿宋_GB2312"/>
          <w:sz w:val="28"/>
          <w:szCs w:val="28"/>
          <w:lang w:val="en-US" w:eastAsia="zh-CN"/>
        </w:rPr>
        <w:t>及以上</w:t>
      </w:r>
      <w:r>
        <w:rPr>
          <w:rFonts w:hint="eastAsia" w:ascii="仿宋_GB2312" w:hAnsi="仿宋_GB2312" w:eastAsia="仿宋_GB2312" w:cs="仿宋_GB2312"/>
          <w:sz w:val="28"/>
          <w:szCs w:val="28"/>
        </w:rPr>
        <w:t>绿化护养员上门进行日常的护养、管理。</w:t>
      </w:r>
    </w:p>
    <w:p w14:paraId="7B212401">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（2）绿化护养所产生的一切费用(含工具、化肥、农药等)由乙方负责。</w:t>
      </w:r>
    </w:p>
    <w:p w14:paraId="5BCE397D">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（3）绿化护养人员负责</w:t>
      </w:r>
      <w:r>
        <w:rPr>
          <w:rFonts w:hint="eastAsia" w:ascii="仿宋_GB2312" w:hAnsi="仿宋_GB2312" w:eastAsia="仿宋_GB2312" w:cs="仿宋_GB2312"/>
          <w:sz w:val="28"/>
          <w:szCs w:val="28"/>
          <w:lang w:eastAsia="zh-CN"/>
        </w:rPr>
        <w:t>校园内</w:t>
      </w:r>
      <w:r>
        <w:rPr>
          <w:rFonts w:hint="eastAsia" w:ascii="仿宋_GB2312" w:hAnsi="仿宋_GB2312" w:eastAsia="仿宋_GB2312" w:cs="仿宋_GB2312"/>
          <w:sz w:val="28"/>
          <w:szCs w:val="28"/>
        </w:rPr>
        <w:t>绿化带的所有维护工作，保证草色正常，绿化带无杂草、无枯黄、无病虫害，各种植被生长茂盛，包括:</w:t>
      </w:r>
    </w:p>
    <w:p w14:paraId="7597E0E7">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①根据不同植物的特性和气候状况，合理安排浇水的频率和水量，确保植物水分充足但又不过量积水。</w:t>
      </w:r>
    </w:p>
    <w:p w14:paraId="107E5886">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②选用适宜的肥料种类，并按照规定的时间和剂量进行施放，以促进植物的健康生长。</w:t>
      </w:r>
    </w:p>
    <w:p w14:paraId="37A0EE06">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③在病虫害防治方面，乙方应定期进行监测，一旦发现病虫害迹象，需及时采取有效的防治措施，包括但不限于使用合适的药剂进行喷洒或采取其他生物防治手段等。</w:t>
      </w:r>
    </w:p>
    <w:p w14:paraId="31BDF7DB">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④清除杂草、杂物需及时且全面，确保绿化区域内无明显杂草丛生现象。</w:t>
      </w:r>
    </w:p>
    <w:p w14:paraId="4C681A8A">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⑤对有造型的花木进行艺术性修剪，保证树冠完整，枝叶茂盛，形态优美。</w:t>
      </w:r>
    </w:p>
    <w:p w14:paraId="61793F76">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⑥视草地生长情况修剪草地，保持统一高度，整齐美观，无斑秃、杂草。</w:t>
      </w:r>
    </w:p>
    <w:p w14:paraId="64884699">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（4）乙方需对使用的化肥、农药的装置容器进行密封并妥善放置，按规范操作程序使用剪草设备，控制噪音，保持</w:t>
      </w:r>
      <w:r>
        <w:rPr>
          <w:rFonts w:hint="eastAsia" w:ascii="仿宋_GB2312" w:hAnsi="仿宋_GB2312" w:eastAsia="仿宋_GB2312" w:cs="仿宋_GB2312"/>
          <w:sz w:val="28"/>
          <w:szCs w:val="28"/>
          <w:lang w:eastAsia="zh-CN"/>
        </w:rPr>
        <w:t>校园内</w:t>
      </w:r>
      <w:r>
        <w:rPr>
          <w:rFonts w:hint="eastAsia" w:ascii="仿宋_GB2312" w:hAnsi="仿宋_GB2312" w:eastAsia="仿宋_GB2312" w:cs="仿宋_GB2312"/>
          <w:sz w:val="28"/>
          <w:szCs w:val="28"/>
        </w:rPr>
        <w:t>的清洁、宁静。</w:t>
      </w:r>
    </w:p>
    <w:p w14:paraId="2931539A">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（5）除正常维护外，甲方通知乙方需要作临时修剪养护时，乙方须在当日或次日派人修剪。因乙方人员未按时到位，将扣除当月护管费用的</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%作为补偿金。</w:t>
      </w:r>
    </w:p>
    <w:p w14:paraId="37693400">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（6）乙方须保证</w:t>
      </w:r>
      <w:r>
        <w:rPr>
          <w:rFonts w:hint="eastAsia" w:ascii="仿宋_GB2312" w:hAnsi="仿宋_GB2312" w:eastAsia="仿宋_GB2312" w:cs="仿宋_GB2312"/>
          <w:sz w:val="28"/>
          <w:szCs w:val="28"/>
          <w:lang w:eastAsia="zh-CN"/>
        </w:rPr>
        <w:t>校园</w:t>
      </w:r>
      <w:r>
        <w:rPr>
          <w:rFonts w:hint="eastAsia" w:ascii="仿宋_GB2312" w:hAnsi="仿宋_GB2312" w:eastAsia="仿宋_GB2312" w:cs="仿宋_GB2312"/>
          <w:sz w:val="28"/>
          <w:szCs w:val="28"/>
        </w:rPr>
        <w:t>绿化植物健康生长，若因生病、害虫等导致植物枯死，需在20</w:t>
      </w:r>
      <w:r>
        <w:rPr>
          <w:rFonts w:hint="eastAsia" w:ascii="仿宋_GB2312" w:hAnsi="仿宋_GB2312" w:eastAsia="仿宋_GB2312" w:cs="仿宋_GB2312"/>
          <w:sz w:val="28"/>
          <w:szCs w:val="28"/>
          <w:lang w:val="en-US" w:eastAsia="zh-CN"/>
        </w:rPr>
        <w:t>天</w:t>
      </w:r>
      <w:r>
        <w:rPr>
          <w:rFonts w:hint="eastAsia" w:ascii="仿宋_GB2312" w:hAnsi="仿宋_GB2312" w:eastAsia="仿宋_GB2312" w:cs="仿宋_GB2312"/>
          <w:sz w:val="28"/>
          <w:szCs w:val="28"/>
        </w:rPr>
        <w:t>内进行，更换或补种的一切费用乙方负责承担，在规定时间内未及时更换或补种处罚500元/次。</w:t>
      </w:r>
    </w:p>
    <w:p w14:paraId="7B6EF816">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（7）乔灌木、花卉的成活率应达到 95 %以上，树木成活率达到 100 %，特殊情况不得低于98 %，如发现未达到要求，甲方有权随时终止合同。</w:t>
      </w:r>
    </w:p>
    <w:p w14:paraId="256BEF46">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（8）乙方保证派遣的工人遵纪守法，严格遵守甲方的规章制度，讲文明、懂礼貌，不得损害甲方的一切财物，否则双倍赔偿，并按甲方的规章制度进行处罚，处罚金额在当月的护管费用中扣除。</w:t>
      </w:r>
    </w:p>
    <w:p w14:paraId="1A3F04B6">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color w:val="FF0000"/>
          <w:sz w:val="28"/>
          <w:szCs w:val="28"/>
          <w:lang w:eastAsia="zh-CN"/>
        </w:rPr>
      </w:pPr>
      <w:r>
        <w:rPr>
          <w:rFonts w:hint="eastAsia" w:ascii="仿宋_GB2312" w:hAnsi="仿宋_GB2312" w:eastAsia="仿宋_GB2312" w:cs="仿宋_GB2312"/>
          <w:sz w:val="28"/>
          <w:szCs w:val="28"/>
        </w:rPr>
        <w:t>（9）乙方护养人员在</w:t>
      </w:r>
      <w:r>
        <w:rPr>
          <w:rFonts w:hint="eastAsia" w:ascii="仿宋_GB2312" w:hAnsi="仿宋_GB2312" w:eastAsia="仿宋_GB2312" w:cs="仿宋_GB2312"/>
          <w:sz w:val="28"/>
          <w:szCs w:val="28"/>
          <w:lang w:eastAsia="zh-CN"/>
        </w:rPr>
        <w:t>校</w:t>
      </w:r>
      <w:r>
        <w:rPr>
          <w:rFonts w:hint="eastAsia" w:ascii="仿宋_GB2312" w:hAnsi="仿宋_GB2312" w:eastAsia="仿宋_GB2312" w:cs="仿宋_GB2312"/>
          <w:sz w:val="28"/>
          <w:szCs w:val="28"/>
        </w:rPr>
        <w:t>内施工时要认真做好安全工作，制定安全措施。乙方人员由于各种原因造成的伤、残、亡及造成他人伤、残、亡或其它事故，均由乙方自行处理，并承担相应的经济和法律方面的责任，甲方不承担任何费用与连带责任。如果乙方拖延解决或相关职能部门要求甲方先行解决的，甲方有权先行解决，同时对甲方所作出的解决方案乙方无条件服从</w:t>
      </w:r>
      <w:r>
        <w:rPr>
          <w:rFonts w:hint="eastAsia" w:ascii="仿宋_GB2312" w:hAnsi="仿宋_GB2312" w:eastAsia="仿宋_GB2312" w:cs="仿宋_GB2312"/>
          <w:sz w:val="28"/>
          <w:szCs w:val="28"/>
          <w:lang w:eastAsia="zh-CN"/>
        </w:rPr>
        <w:t>。</w:t>
      </w:r>
    </w:p>
    <w:p w14:paraId="07298CB3">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（10）乙方入</w:t>
      </w:r>
      <w:r>
        <w:rPr>
          <w:rFonts w:hint="eastAsia" w:ascii="仿宋_GB2312" w:hAnsi="仿宋_GB2312" w:eastAsia="仿宋_GB2312" w:cs="仿宋_GB2312"/>
          <w:sz w:val="28"/>
          <w:szCs w:val="28"/>
          <w:lang w:eastAsia="zh-CN"/>
        </w:rPr>
        <w:t>校园工作时需服从配合甲方关于绿化养护工作的管理</w:t>
      </w:r>
      <w:r>
        <w:rPr>
          <w:rFonts w:hint="eastAsia" w:ascii="仿宋_GB2312" w:hAnsi="仿宋_GB2312" w:eastAsia="仿宋_GB2312" w:cs="仿宋_GB2312"/>
          <w:sz w:val="28"/>
          <w:szCs w:val="28"/>
        </w:rPr>
        <w:t>。</w:t>
      </w:r>
    </w:p>
    <w:p w14:paraId="06ADCE78">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（11）乙方不得使用我国禁用的农药(如:A、敌枯双;B、二溴氯丙烷(DBCP);C.普特丹;D培福朗;E.18\%蝇毒磷乳粉;F.六六六和滴滴涕 G.二溴乙烷(EDB));H.杀虫脒1.氟乙酰胺;J艾氏剂和狄氏剂:K.汞制剂;L.毒鼠强;M甘氟 等农药)，如发现有违反现象，甲方有权随时终止合同。</w:t>
      </w:r>
    </w:p>
    <w:p w14:paraId="159DCC29">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（12）乙方应保证资金的合理使用，不得外流挪用，不得拖欠民工工资。</w:t>
      </w:r>
    </w:p>
    <w:p w14:paraId="01E69504">
      <w:pPr>
        <w:keepNext w:val="0"/>
        <w:keepLines w:val="0"/>
        <w:pageBreakBefore w:val="0"/>
        <w:kinsoku/>
        <w:wordWrap/>
        <w:overflowPunct/>
        <w:topLinePunct w:val="0"/>
        <w:bidi w:val="0"/>
        <w:spacing w:line="560" w:lineRule="exact"/>
        <w:rPr>
          <w:rFonts w:hint="eastAsia" w:ascii="仿宋_GB2312" w:hAnsi="仿宋_GB2312" w:eastAsia="仿宋_GB2312" w:cs="仿宋_GB2312"/>
          <w:b/>
          <w:color w:val="000000"/>
          <w:sz w:val="28"/>
          <w:szCs w:val="28"/>
          <w:lang w:val="en-US" w:eastAsia="zh-CN"/>
        </w:rPr>
      </w:pPr>
      <w:r>
        <w:rPr>
          <w:rFonts w:hint="eastAsia" w:ascii="仿宋_GB2312" w:hAnsi="仿宋_GB2312" w:eastAsia="仿宋_GB2312" w:cs="仿宋_GB2312"/>
          <w:b/>
          <w:color w:val="000000"/>
          <w:sz w:val="28"/>
          <w:szCs w:val="28"/>
        </w:rPr>
        <w:t>七</w:t>
      </w:r>
      <w:r>
        <w:rPr>
          <w:rFonts w:hint="eastAsia" w:ascii="仿宋_GB2312" w:hAnsi="仿宋_GB2312" w:eastAsia="仿宋_GB2312" w:cs="仿宋_GB2312"/>
          <w:b/>
          <w:color w:val="000000"/>
          <w:sz w:val="28"/>
          <w:szCs w:val="28"/>
          <w:lang w:eastAsia="zh-CN"/>
        </w:rPr>
        <w:t>、</w:t>
      </w:r>
      <w:r>
        <w:rPr>
          <w:rFonts w:hint="eastAsia" w:ascii="仿宋_GB2312" w:hAnsi="仿宋_GB2312" w:eastAsia="仿宋_GB2312" w:cs="仿宋_GB2312"/>
          <w:b/>
          <w:color w:val="000000"/>
          <w:sz w:val="28"/>
          <w:szCs w:val="28"/>
          <w:lang w:val="en-US" w:eastAsia="zh-CN"/>
        </w:rPr>
        <w:t>养护方案及调整</w:t>
      </w:r>
    </w:p>
    <w:p w14:paraId="38BAD71F">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1．乙方必须按甲方代表确认的养护管理方案和养护计划组织养护，接受甲方代表对养护质量的检查。</w:t>
      </w:r>
    </w:p>
    <w:p w14:paraId="7A159DCF">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涉及重大活动或其他原因，甲方代表认为确有必要暂停养护工作或调整养护任务时，应当以书面形式要求乙方养护人员调整养护时间或增加养护任务，乙方应遵从甲方要求。除双方另有约定外，因该项调整导致的费用增加由甲方承担。如需使用时令花卉、苗木及大型活动的花卉摆放，乙方应确保所采购花卉、苗木低于市场价。</w:t>
      </w:r>
    </w:p>
    <w:p w14:paraId="0A732861">
      <w:pPr>
        <w:keepNext w:val="0"/>
        <w:keepLines w:val="0"/>
        <w:pageBreakBefore w:val="0"/>
        <w:kinsoku/>
        <w:wordWrap/>
        <w:overflowPunct/>
        <w:topLinePunct w:val="0"/>
        <w:bidi w:val="0"/>
        <w:spacing w:line="560" w:lineRule="exact"/>
        <w:rPr>
          <w:rFonts w:hint="eastAsia" w:ascii="仿宋_GB2312" w:hAnsi="仿宋_GB2312" w:eastAsia="仿宋_GB2312" w:cs="仿宋_GB2312"/>
          <w:b/>
          <w:color w:val="000000"/>
          <w:sz w:val="28"/>
          <w:szCs w:val="28"/>
          <w:lang w:val="en-US" w:eastAsia="zh-CN"/>
        </w:rPr>
      </w:pPr>
      <w:r>
        <w:rPr>
          <w:rFonts w:hint="eastAsia" w:ascii="仿宋_GB2312" w:hAnsi="仿宋_GB2312" w:eastAsia="仿宋_GB2312" w:cs="仿宋_GB2312"/>
          <w:b/>
          <w:color w:val="000000"/>
          <w:sz w:val="28"/>
          <w:szCs w:val="28"/>
        </w:rPr>
        <w:t>八</w:t>
      </w:r>
      <w:r>
        <w:rPr>
          <w:rFonts w:hint="eastAsia" w:ascii="仿宋_GB2312" w:hAnsi="仿宋_GB2312" w:eastAsia="仿宋_GB2312" w:cs="仿宋_GB2312"/>
          <w:b/>
          <w:color w:val="000000"/>
          <w:sz w:val="28"/>
          <w:szCs w:val="28"/>
          <w:lang w:eastAsia="zh-CN"/>
        </w:rPr>
        <w:t>、</w:t>
      </w:r>
      <w:r>
        <w:rPr>
          <w:rFonts w:hint="eastAsia" w:ascii="仿宋_GB2312" w:hAnsi="仿宋_GB2312" w:eastAsia="仿宋_GB2312" w:cs="仿宋_GB2312"/>
          <w:b/>
          <w:color w:val="000000"/>
          <w:sz w:val="28"/>
          <w:szCs w:val="28"/>
          <w:lang w:val="en-US" w:eastAsia="zh-CN"/>
        </w:rPr>
        <w:t>安全防护及事故处理</w:t>
      </w:r>
    </w:p>
    <w:p w14:paraId="57353CCE">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1．一般要求</w:t>
      </w:r>
    </w:p>
    <w:p w14:paraId="00A79C1E">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乙方在养护期间，应当严格遵守安全生产作业的有关管理制度，并随时接受行业安全检查人员依法实施的监督检查，采取必要的安全防护措施，消除事故隐患。由于乙方安全措施不力造成事故的责任和因此发生的费用，由乙方承担。</w:t>
      </w:r>
    </w:p>
    <w:p w14:paraId="754C134A">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（2）乙方应对其在养护场地的工作人员进行安全教育，并对他们的安全负责。</w:t>
      </w:r>
    </w:p>
    <w:p w14:paraId="2A2C3CDE">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（3）甲方不得要求乙方违反安全管理的规定进行养护工作。因甲方原因导致的安全事故，由甲方承担相应责任及发生的费用。</w:t>
      </w:r>
    </w:p>
    <w:p w14:paraId="69465717">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2．安全防范</w:t>
      </w:r>
    </w:p>
    <w:p w14:paraId="7C738D2B">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（1）乙方在从事喷洒农药、控制有害生物、修剪树木、修理设施、清理道路或水体、防台防汛等工作时应自行采取相应的安全防护措施。除双方另有约定外，安全防护费用由乙方自行承担。</w:t>
      </w:r>
    </w:p>
    <w:p w14:paraId="03568485">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乙方应保证养护范围内的各项设施能够安全使用，对于存在安全隐患的设施、物品，应及时提请甲方予以修理或更换（例快速取水阀等）。对养护范围内的树林、水体或其他可能造成人员伤亡的场所，乙方应提请甲方设置禁止吸烟、禁止火种、禁止游泳等安全警告铭牌。</w:t>
      </w:r>
    </w:p>
    <w:p w14:paraId="1A9D282E">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乙方对土壤进行消毒或防治病虫害时，应使用符合环保要求的药剂，不得使用国家禁止使用的剧毒、高残留或可能造成其它公害的药剂。乙方喷洒药物之前，须将喷洒时间、药物种类提前报甲方批准，按甲方批准的时间和路线进行喷洒。瓜果类植物在挂果期间不得喷洒药剂，以防发生意外。残留药剂和容器，乙方应按规定妥善收集、保管和安全处理。</w:t>
      </w:r>
    </w:p>
    <w:p w14:paraId="134B9AD8">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3．事故处理</w:t>
      </w:r>
    </w:p>
    <w:p w14:paraId="4A33782B">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（1）养护期间，若发生重大伤亡及其他安全事故，乙方应按有关规定立即上报有关部门并通知甲方代表，同时按政府有关部门要求处理，由事故责任方承担发生的费用。</w:t>
      </w:r>
    </w:p>
    <w:p w14:paraId="653C6140">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（2）甲方、乙方对事故责任有争议时，应按政府有关部门的认定处理。</w:t>
      </w:r>
    </w:p>
    <w:p w14:paraId="3A76C370">
      <w:pPr>
        <w:keepNext w:val="0"/>
        <w:keepLines w:val="0"/>
        <w:pageBreakBefore w:val="0"/>
        <w:kinsoku/>
        <w:wordWrap/>
        <w:overflowPunct/>
        <w:topLinePunct w:val="0"/>
        <w:bidi w:val="0"/>
        <w:spacing w:line="560" w:lineRule="exact"/>
        <w:rPr>
          <w:rFonts w:hint="eastAsia" w:ascii="仿宋_GB2312" w:hAnsi="仿宋_GB2312" w:eastAsia="仿宋_GB2312" w:cs="仿宋_GB2312"/>
          <w:b/>
          <w:color w:val="000000"/>
          <w:sz w:val="28"/>
          <w:szCs w:val="28"/>
          <w:lang w:val="en-US" w:eastAsia="zh-CN"/>
        </w:rPr>
      </w:pPr>
      <w:r>
        <w:rPr>
          <w:rFonts w:hint="eastAsia" w:ascii="仿宋_GB2312" w:hAnsi="仿宋_GB2312" w:eastAsia="仿宋_GB2312" w:cs="仿宋_GB2312"/>
          <w:b/>
          <w:color w:val="000000"/>
          <w:sz w:val="28"/>
          <w:szCs w:val="28"/>
          <w:lang w:val="en-US" w:eastAsia="zh-CN"/>
        </w:rPr>
        <w:t>九、违约责任</w:t>
      </w:r>
    </w:p>
    <w:p w14:paraId="3A240194">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1．甲方违约责任</w:t>
      </w:r>
    </w:p>
    <w:p w14:paraId="245A14ED">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（1）甲方未按合同约定提供相关图纸、资料及养护所需水、电的接驳点，应承担合同工作范围违约责任。</w:t>
      </w:r>
    </w:p>
    <w:p w14:paraId="4805491E">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（2）因甲方原因，造成养护范围内的植物或养殖物死亡，其损失由甲方承担。</w:t>
      </w:r>
    </w:p>
    <w:p w14:paraId="4982699E">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2．乙方违约责任</w:t>
      </w:r>
    </w:p>
    <w:p w14:paraId="0E32CB62">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（1）因乙方原因，养护质量未达到合同约定的养护标准，乙方应采取补救措施，并赔偿甲方损失。</w:t>
      </w:r>
    </w:p>
    <w:p w14:paraId="2BEFD23D">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（2）未经甲方同意，乙方擅自更改、调整养护方案，给甲方造成损失的，应承担赔偿责任。</w:t>
      </w:r>
    </w:p>
    <w:p w14:paraId="23197820">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（3）未经甲方同意，乙方擅自将承包的养护项目进行分包或转包给他人，给甲方造成损失的，应承担赔偿责任。</w:t>
      </w:r>
    </w:p>
    <w:p w14:paraId="3D96ED70">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由于不可抗力的因素及自然灾害造成的绿化植物死亡，由甲方负责处理。“不可抗力”指超出本和同双方控制范围、无法预见、无法避免或无法克服、使本合同一部分或完全不能履行的事件。这类事件包括地震、台风、洪水、火灾、战争、罢工、政府行为、法律规定或其他适用的变化，或者其他任何无法预见、无法避免或者无法控制的客观情况。</w:t>
      </w:r>
    </w:p>
    <w:p w14:paraId="21E7B667">
      <w:pPr>
        <w:keepNext w:val="0"/>
        <w:keepLines w:val="0"/>
        <w:pageBreakBefore w:val="0"/>
        <w:kinsoku/>
        <w:wordWrap/>
        <w:overflowPunct/>
        <w:topLinePunct w:val="0"/>
        <w:bidi w:val="0"/>
        <w:spacing w:line="560" w:lineRule="exact"/>
        <w:rPr>
          <w:rFonts w:hint="eastAsia" w:ascii="仿宋_GB2312" w:hAnsi="仿宋_GB2312" w:eastAsia="仿宋_GB2312" w:cs="仿宋_GB2312"/>
          <w:b/>
          <w:color w:val="000000"/>
          <w:sz w:val="28"/>
          <w:szCs w:val="28"/>
          <w:lang w:val="en-US" w:eastAsia="zh-CN"/>
        </w:rPr>
      </w:pPr>
      <w:r>
        <w:rPr>
          <w:rFonts w:hint="eastAsia" w:ascii="仿宋_GB2312" w:hAnsi="仿宋_GB2312" w:eastAsia="仿宋_GB2312" w:cs="仿宋_GB2312"/>
          <w:b/>
          <w:color w:val="000000"/>
          <w:sz w:val="28"/>
          <w:szCs w:val="28"/>
          <w:lang w:val="en-US" w:eastAsia="zh-CN"/>
        </w:rPr>
        <w:t>十、其他约定</w:t>
      </w:r>
    </w:p>
    <w:p w14:paraId="6BCB12BB">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合同履行过程中，双方可根据有关法律、行政法规规定，结合养护项目的实际情况，经协商一致后订立补充协议。补充协议视为本合同的组成部分。本协议合同意向期为一年。</w:t>
      </w:r>
    </w:p>
    <w:p w14:paraId="575839AB">
      <w:pPr>
        <w:keepNext w:val="0"/>
        <w:keepLines w:val="0"/>
        <w:pageBreakBefore w:val="0"/>
        <w:kinsoku/>
        <w:wordWrap/>
        <w:overflowPunct/>
        <w:topLinePunct w:val="0"/>
        <w:bidi w:val="0"/>
        <w:spacing w:line="560" w:lineRule="exact"/>
        <w:rPr>
          <w:rFonts w:hint="eastAsia" w:ascii="仿宋_GB2312" w:hAnsi="仿宋_GB2312" w:eastAsia="仿宋_GB2312" w:cs="仿宋_GB2312"/>
          <w:b/>
          <w:color w:val="000000"/>
          <w:sz w:val="28"/>
          <w:szCs w:val="28"/>
          <w:lang w:val="en-US" w:eastAsia="zh-CN"/>
        </w:rPr>
      </w:pPr>
      <w:r>
        <w:rPr>
          <w:rFonts w:hint="eastAsia" w:ascii="仿宋_GB2312" w:hAnsi="仿宋_GB2312" w:eastAsia="仿宋_GB2312" w:cs="仿宋_GB2312"/>
          <w:b/>
          <w:color w:val="000000"/>
          <w:sz w:val="28"/>
          <w:szCs w:val="28"/>
          <w:lang w:val="en-US" w:eastAsia="zh-CN"/>
        </w:rPr>
        <w:t>十一、合同争议的解决</w:t>
      </w:r>
    </w:p>
    <w:p w14:paraId="525CB2A2">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bCs/>
          <w:color w:val="000000"/>
          <w:sz w:val="28"/>
          <w:szCs w:val="28"/>
        </w:rPr>
      </w:pPr>
      <w:r>
        <w:rPr>
          <w:rFonts w:hint="eastAsia" w:ascii="仿宋_GB2312" w:hAnsi="仿宋_GB2312" w:eastAsia="仿宋_GB2312" w:cs="仿宋_GB2312"/>
          <w:sz w:val="28"/>
          <w:szCs w:val="28"/>
          <w:lang w:val="en-US" w:eastAsia="zh-CN"/>
        </w:rPr>
        <w:t>凡因本合同引起的或与本合同有关的任何争议，如果协商不能解决，应通过甲方所在地人民法院诉讼解决。</w:t>
      </w:r>
    </w:p>
    <w:p w14:paraId="4957AD23">
      <w:pPr>
        <w:keepNext w:val="0"/>
        <w:keepLines w:val="0"/>
        <w:pageBreakBefore w:val="0"/>
        <w:kinsoku/>
        <w:wordWrap/>
        <w:overflowPunct/>
        <w:topLinePunct w:val="0"/>
        <w:bidi w:val="0"/>
        <w:spacing w:line="560" w:lineRule="exact"/>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color w:val="000000"/>
          <w:sz w:val="28"/>
          <w:szCs w:val="28"/>
        </w:rPr>
        <w:t>十</w:t>
      </w:r>
      <w:r>
        <w:rPr>
          <w:rFonts w:hint="eastAsia" w:ascii="仿宋_GB2312" w:hAnsi="仿宋_GB2312" w:eastAsia="仿宋_GB2312" w:cs="仿宋_GB2312"/>
          <w:b/>
          <w:color w:val="000000"/>
          <w:sz w:val="28"/>
          <w:szCs w:val="28"/>
          <w:lang w:eastAsia="zh-CN"/>
        </w:rPr>
        <w:t>二、</w:t>
      </w:r>
      <w:r>
        <w:rPr>
          <w:rFonts w:hint="eastAsia" w:ascii="仿宋_GB2312" w:hAnsi="仿宋_GB2312" w:eastAsia="仿宋_GB2312" w:cs="仿宋_GB2312"/>
          <w:b/>
          <w:color w:val="000000"/>
          <w:sz w:val="28"/>
          <w:szCs w:val="28"/>
        </w:rPr>
        <w:t>合同份数</w:t>
      </w:r>
    </w:p>
    <w:p w14:paraId="4902A017">
      <w:pPr>
        <w:keepNext w:val="0"/>
        <w:keepLines w:val="0"/>
        <w:pageBreakBefore w:val="0"/>
        <w:kinsoku/>
        <w:wordWrap/>
        <w:overflowPunct/>
        <w:topLinePunct w:val="0"/>
        <w:bidi w:val="0"/>
        <w:spacing w:line="560" w:lineRule="exact"/>
        <w:ind w:firstLine="560" w:firstLineChars="200"/>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本合同一式</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肆</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份，均具有同等法律效力，发包人执</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叁</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份，承包人执</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壹</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份。</w:t>
      </w:r>
    </w:p>
    <w:p w14:paraId="0226F29B">
      <w:pPr>
        <w:keepNext w:val="0"/>
        <w:keepLines w:val="0"/>
        <w:pageBreakBefore w:val="0"/>
        <w:kinsoku/>
        <w:wordWrap/>
        <w:overflowPunct/>
        <w:topLinePunct w:val="0"/>
        <w:bidi w:val="0"/>
        <w:spacing w:line="560" w:lineRule="exact"/>
        <w:rPr>
          <w:rFonts w:hint="eastAsia" w:ascii="仿宋_GB2312" w:hAnsi="仿宋_GB2312" w:eastAsia="仿宋_GB2312" w:cs="仿宋_GB2312"/>
          <w:bCs/>
          <w:color w:val="000000"/>
          <w:sz w:val="28"/>
          <w:szCs w:val="28"/>
        </w:rPr>
      </w:pPr>
    </w:p>
    <w:p w14:paraId="03408910">
      <w:pPr>
        <w:keepNext w:val="0"/>
        <w:keepLines w:val="0"/>
        <w:pageBreakBefore w:val="0"/>
        <w:kinsoku/>
        <w:wordWrap/>
        <w:overflowPunct/>
        <w:topLinePunct w:val="0"/>
        <w:bidi w:val="0"/>
        <w:spacing w:line="56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发包人：  (公章)                 承包人：  (公章)</w:t>
      </w:r>
    </w:p>
    <w:p w14:paraId="25AEA952">
      <w:pPr>
        <w:keepNext w:val="0"/>
        <w:keepLines w:val="0"/>
        <w:pageBreakBefore w:val="0"/>
        <w:kinsoku/>
        <w:wordWrap/>
        <w:overflowPunct/>
        <w:topLinePunct w:val="0"/>
        <w:bidi w:val="0"/>
        <w:spacing w:line="560" w:lineRule="exact"/>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 xml:space="preserve">                                 </w:t>
      </w:r>
    </w:p>
    <w:p w14:paraId="1EB540EA">
      <w:pPr>
        <w:keepNext w:val="0"/>
        <w:keepLines w:val="0"/>
        <w:pageBreakBefore w:val="0"/>
        <w:kinsoku/>
        <w:wordWrap/>
        <w:overflowPunct/>
        <w:topLinePunct w:val="0"/>
        <w:bidi w:val="0"/>
        <w:spacing w:line="56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法定代表人或其委托代理人：       法定代表人或其委托代理人：</w:t>
      </w:r>
    </w:p>
    <w:p w14:paraId="7729BBE7">
      <w:pPr>
        <w:keepNext w:val="0"/>
        <w:keepLines w:val="0"/>
        <w:pageBreakBefore w:val="0"/>
        <w:kinsoku/>
        <w:wordWrap/>
        <w:overflowPunct/>
        <w:topLinePunct w:val="0"/>
        <w:bidi w:val="0"/>
        <w:spacing w:line="56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（签字）                        （签字）</w:t>
      </w:r>
    </w:p>
    <w:p w14:paraId="095DE9C9">
      <w:pPr>
        <w:keepNext w:val="0"/>
        <w:keepLines w:val="0"/>
        <w:pageBreakBefore w:val="0"/>
        <w:kinsoku/>
        <w:wordWrap/>
        <w:overflowPunct/>
        <w:topLinePunct w:val="0"/>
        <w:bidi w:val="0"/>
        <w:spacing w:line="560" w:lineRule="exact"/>
        <w:rPr>
          <w:rFonts w:hint="eastAsia" w:ascii="仿宋_GB2312" w:hAnsi="仿宋_GB2312" w:eastAsia="仿宋_GB2312" w:cs="仿宋_GB2312"/>
          <w:color w:val="000000"/>
          <w:sz w:val="28"/>
          <w:szCs w:val="28"/>
          <w:u w:val="single"/>
        </w:rPr>
      </w:pPr>
    </w:p>
    <w:p w14:paraId="7CDEBF25">
      <w:pPr>
        <w:spacing w:line="360" w:lineRule="auto"/>
        <w:rPr>
          <w:rFonts w:hint="eastAsia" w:ascii="宋体" w:hAnsi="宋体" w:eastAsia="宋体" w:cs="宋体"/>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小标宋">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A65F1">
    <w:pPr>
      <w:pStyle w:val="4"/>
      <w:jc w:val="center"/>
      <w:rPr>
        <w:rFonts w:eastAsia="仿宋_GB2312"/>
        <w:sz w:val="24"/>
      </w:rPr>
    </w:pPr>
    <w:r>
      <w:rPr>
        <w:rFonts w:eastAsia="仿宋_GB2312"/>
        <w:sz w:val="24"/>
      </w:rPr>
      <w:fldChar w:fldCharType="begin"/>
    </w:r>
    <w:r>
      <w:rPr>
        <w:rFonts w:eastAsia="仿宋_GB2312"/>
        <w:sz w:val="24"/>
      </w:rPr>
      <w:instrText xml:space="preserve"> PAGE  \* MERGEFORMAT </w:instrText>
    </w:r>
    <w:r>
      <w:rPr>
        <w:rFonts w:eastAsia="仿宋_GB2312"/>
        <w:sz w:val="24"/>
      </w:rPr>
      <w:fldChar w:fldCharType="separate"/>
    </w:r>
    <w:r>
      <w:t>78</w:t>
    </w:r>
    <w:r>
      <w:rPr>
        <w:rFonts w:eastAsia="仿宋_GB2312"/>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85C448">
    <w:pPr>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79</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0244D">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D29802"/>
    <w:multiLevelType w:val="singleLevel"/>
    <w:tmpl w:val="0DD29802"/>
    <w:lvl w:ilvl="0" w:tentative="0">
      <w:start w:val="1"/>
      <w:numFmt w:val="chineseCounting"/>
      <w:suff w:val="nothing"/>
      <w:lvlText w:val="%1、"/>
      <w:lvlJc w:val="left"/>
      <w:rPr>
        <w:rFonts w:hint="eastAsia"/>
      </w:rPr>
    </w:lvl>
  </w:abstractNum>
  <w:abstractNum w:abstractNumId="1">
    <w:nsid w:val="0F992C2D"/>
    <w:multiLevelType w:val="singleLevel"/>
    <w:tmpl w:val="0F992C2D"/>
    <w:lvl w:ilvl="0" w:tentative="0">
      <w:start w:val="2"/>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EyNjdhNmJhZDI2MzQ3ZTFkNGJlMGJmZjQyOGQ1YmMifQ=="/>
  </w:docVars>
  <w:rsids>
    <w:rsidRoot w:val="00EC497B"/>
    <w:rsid w:val="000C0A2F"/>
    <w:rsid w:val="00301DA4"/>
    <w:rsid w:val="00C528D4"/>
    <w:rsid w:val="00E46EAD"/>
    <w:rsid w:val="00EC497B"/>
    <w:rsid w:val="00F5173F"/>
    <w:rsid w:val="065C5002"/>
    <w:rsid w:val="0733430F"/>
    <w:rsid w:val="0A344626"/>
    <w:rsid w:val="0A6A4B37"/>
    <w:rsid w:val="0AB87005"/>
    <w:rsid w:val="0E87566C"/>
    <w:rsid w:val="12A6008B"/>
    <w:rsid w:val="12D31205"/>
    <w:rsid w:val="13A66595"/>
    <w:rsid w:val="17B9219D"/>
    <w:rsid w:val="17BD20FF"/>
    <w:rsid w:val="1BB2184F"/>
    <w:rsid w:val="1BF61A7E"/>
    <w:rsid w:val="1C8E5E18"/>
    <w:rsid w:val="1FDB0A8F"/>
    <w:rsid w:val="202F49E6"/>
    <w:rsid w:val="23A44173"/>
    <w:rsid w:val="24806E3B"/>
    <w:rsid w:val="2ABB0720"/>
    <w:rsid w:val="2B5D0D13"/>
    <w:rsid w:val="2B717030"/>
    <w:rsid w:val="2C267638"/>
    <w:rsid w:val="2CFC6DCE"/>
    <w:rsid w:val="2F144911"/>
    <w:rsid w:val="301D1535"/>
    <w:rsid w:val="31AB088A"/>
    <w:rsid w:val="323F1C36"/>
    <w:rsid w:val="32E80DB3"/>
    <w:rsid w:val="330E785B"/>
    <w:rsid w:val="36767BF1"/>
    <w:rsid w:val="38BE32E1"/>
    <w:rsid w:val="38D90C88"/>
    <w:rsid w:val="39FD1880"/>
    <w:rsid w:val="3DE33C95"/>
    <w:rsid w:val="3DE713D4"/>
    <w:rsid w:val="3E594080"/>
    <w:rsid w:val="40112738"/>
    <w:rsid w:val="416D1BD3"/>
    <w:rsid w:val="43574906"/>
    <w:rsid w:val="44444E8A"/>
    <w:rsid w:val="44B63229"/>
    <w:rsid w:val="452D785C"/>
    <w:rsid w:val="459E05CA"/>
    <w:rsid w:val="491D3EFC"/>
    <w:rsid w:val="49543DC1"/>
    <w:rsid w:val="4C7245A8"/>
    <w:rsid w:val="4FB82BD0"/>
    <w:rsid w:val="51E43809"/>
    <w:rsid w:val="520D0FB1"/>
    <w:rsid w:val="568564F4"/>
    <w:rsid w:val="575D6537"/>
    <w:rsid w:val="5B1213E7"/>
    <w:rsid w:val="5B2C49A1"/>
    <w:rsid w:val="61CB0541"/>
    <w:rsid w:val="62B31701"/>
    <w:rsid w:val="63624ED5"/>
    <w:rsid w:val="64F8164D"/>
    <w:rsid w:val="662C7E91"/>
    <w:rsid w:val="694778CB"/>
    <w:rsid w:val="69A578CA"/>
    <w:rsid w:val="7121017E"/>
    <w:rsid w:val="7309711B"/>
    <w:rsid w:val="74D07EF1"/>
    <w:rsid w:val="759E4633"/>
    <w:rsid w:val="75B014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tabs>
        <w:tab w:val="center" w:pos="4153"/>
        <w:tab w:val="right" w:pos="8306"/>
      </w:tabs>
      <w:snapToGrid w:val="0"/>
      <w:jc w:val="center"/>
    </w:pPr>
    <w:rPr>
      <w:sz w:val="18"/>
      <w:szCs w:val="18"/>
    </w:rPr>
  </w:style>
  <w:style w:type="character" w:styleId="8">
    <w:name w:val="Hyperlink"/>
    <w:basedOn w:val="9"/>
    <w:qFormat/>
    <w:uiPriority w:val="0"/>
    <w:rPr>
      <w:color w:val="0A68AE"/>
    </w:rPr>
  </w:style>
  <w:style w:type="character" w:customStyle="1" w:styleId="9">
    <w:name w:val="NormalCharacter"/>
    <w:qFormat/>
    <w:uiPriority w:val="0"/>
  </w:style>
  <w:style w:type="character" w:customStyle="1" w:styleId="10">
    <w:name w:val="页眉 字符"/>
    <w:basedOn w:val="7"/>
    <w:link w:val="5"/>
    <w:qFormat/>
    <w:uiPriority w:val="99"/>
    <w:rPr>
      <w:sz w:val="18"/>
      <w:szCs w:val="18"/>
    </w:rPr>
  </w:style>
  <w:style w:type="character" w:customStyle="1" w:styleId="11">
    <w:name w:val="页脚 字符"/>
    <w:basedOn w:val="7"/>
    <w:link w:val="4"/>
    <w:qFormat/>
    <w:uiPriority w:val="99"/>
    <w:rPr>
      <w:sz w:val="18"/>
      <w:szCs w:val="18"/>
    </w:rPr>
  </w:style>
  <w:style w:type="paragraph" w:customStyle="1" w:styleId="12">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13">
    <w:name w:val="HtmlNormal"/>
    <w:basedOn w:val="1"/>
    <w:qFormat/>
    <w:uiPriority w:val="0"/>
    <w:pPr>
      <w:widowControl/>
      <w:jc w:val="left"/>
      <w:textAlignment w:val="baseline"/>
    </w:pPr>
    <w:rPr>
      <w:rFonts w:ascii="宋体" w:hAnsi="宋体" w:eastAsia="宋体"/>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7459</Words>
  <Characters>7812</Characters>
  <Lines>65</Lines>
  <Paragraphs>18</Paragraphs>
  <TotalTime>49</TotalTime>
  <ScaleCrop>false</ScaleCrop>
  <LinksUpToDate>false</LinksUpToDate>
  <CharactersWithSpaces>8138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2024-05-28T13:47:00Z</dcterms:created>
  <dc:creator>昀伟 胡</dc:creator>
  <cp:lastModifiedBy>蜗牛</cp:lastModifiedBy>
  <cp:lastPrinted>2024-09-26T01:07:00Z</cp:lastPrinted>
  <dcterms:modified xsi:type="dcterms:W3CDTF">2024-10-05T02:10:14Z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2AF6DDCFBC6F444B900021F5D03DDDB2_13</vt:lpwstr>
  </property>
</Properties>
</file>